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D6ABB" w14:textId="77777777" w:rsidR="00000178" w:rsidRDefault="00000178" w:rsidP="00000178">
      <w:pPr>
        <w:pStyle w:val="NormalWeb"/>
        <w:spacing w:before="0" w:beforeAutospacing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70AA2E0D" w14:textId="77777777" w:rsidR="00000178" w:rsidRDefault="00000178" w:rsidP="00000178">
      <w:pPr>
        <w:pStyle w:val="NormalWeb"/>
        <w:spacing w:before="0" w:beforeAutospacing="0"/>
        <w:rPr>
          <w:rFonts w:ascii="Arial" w:hAnsi="Arial" w:cs="Arial"/>
          <w:b/>
          <w:sz w:val="22"/>
          <w:szCs w:val="22"/>
        </w:rPr>
      </w:pPr>
    </w:p>
    <w:p w14:paraId="0B242C11" w14:textId="68C980B1" w:rsidR="00B57505" w:rsidRPr="00000178" w:rsidRDefault="000E5DB5" w:rsidP="00000178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0E5DB5">
        <w:rPr>
          <w:rFonts w:ascii="Arial" w:hAnsi="Arial" w:cs="Arial"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00178" w:rsidRPr="00000178">
        <w:rPr>
          <w:rFonts w:ascii="Arial" w:hAnsi="Arial" w:cs="Arial"/>
          <w:b/>
          <w:sz w:val="22"/>
          <w:szCs w:val="22"/>
        </w:rPr>
        <w:t xml:space="preserve">Anxiety and Depression in Children and Young People with Life Limiting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00178" w:rsidRPr="00000178">
        <w:rPr>
          <w:rFonts w:ascii="Arial" w:hAnsi="Arial" w:cs="Arial"/>
          <w:b/>
          <w:sz w:val="22"/>
          <w:szCs w:val="22"/>
        </w:rPr>
        <w:t>Conditions</w:t>
      </w:r>
      <w:r w:rsidR="00000178" w:rsidRPr="00000178">
        <w:rPr>
          <w:rFonts w:ascii="Arial" w:hAnsi="Arial" w:cs="Arial"/>
          <w:sz w:val="22"/>
          <w:szCs w:val="22"/>
        </w:rPr>
        <w:t xml:space="preserve"> </w:t>
      </w:r>
      <w:r w:rsidR="00000178" w:rsidRPr="00000178">
        <w:rPr>
          <w:rFonts w:ascii="Arial" w:hAnsi="Arial" w:cs="Arial"/>
          <w:sz w:val="22"/>
          <w:szCs w:val="22"/>
        </w:rPr>
        <w:br/>
      </w:r>
      <w:r w:rsidRPr="000E5DB5">
        <w:rPr>
          <w:rFonts w:ascii="Arial" w:hAnsi="Arial" w:cs="Arial"/>
          <w:sz w:val="22"/>
          <w:szCs w:val="22"/>
        </w:rPr>
        <w:t>Presenter:</w:t>
      </w:r>
      <w:r w:rsidRPr="000E5DB5">
        <w:rPr>
          <w:rFonts w:ascii="Arial" w:hAnsi="Arial" w:cs="Arial"/>
          <w:sz w:val="22"/>
          <w:szCs w:val="22"/>
        </w:rPr>
        <w:tab/>
      </w:r>
      <w:r w:rsidR="00000178" w:rsidRPr="00000178">
        <w:rPr>
          <w:rFonts w:ascii="Arial" w:hAnsi="Arial" w:cs="Arial"/>
          <w:b/>
          <w:i/>
          <w:sz w:val="22"/>
          <w:szCs w:val="22"/>
        </w:rPr>
        <w:t>Mary Barker</w:t>
      </w:r>
      <w:r w:rsidR="00000178" w:rsidRPr="00000178">
        <w:rPr>
          <w:rFonts w:ascii="Arial" w:hAnsi="Arial" w:cs="Arial"/>
          <w:i/>
          <w:sz w:val="22"/>
          <w:szCs w:val="22"/>
        </w:rPr>
        <w:t xml:space="preserve">, Second Year PhD Student, Martin House Research Centre, 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000178" w:rsidRPr="00000178">
        <w:rPr>
          <w:rFonts w:ascii="Arial" w:hAnsi="Arial" w:cs="Arial"/>
          <w:i/>
          <w:sz w:val="22"/>
          <w:szCs w:val="22"/>
        </w:rPr>
        <w:t>Social Policy Research Unit/Department of Health Sciences</w:t>
      </w:r>
      <w:r w:rsidR="00000178" w:rsidRPr="0000017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000178" w:rsidRPr="00000178">
        <w:rPr>
          <w:rFonts w:ascii="Arial" w:hAnsi="Arial" w:cs="Arial"/>
          <w:sz w:val="22"/>
          <w:szCs w:val="22"/>
        </w:rPr>
        <w:br/>
      </w:r>
      <w:r w:rsidR="007A4852" w:rsidRPr="00000178">
        <w:rPr>
          <w:rFonts w:ascii="Arial" w:hAnsi="Arial" w:cs="Arial"/>
          <w:sz w:val="22"/>
          <w:szCs w:val="22"/>
        </w:rPr>
        <w:t xml:space="preserve">My presentation at the World Mental Health Day event described the systematic review and meta-analysis that I have recently completed, assessing the </w:t>
      </w:r>
      <w:r w:rsidR="007A4852" w:rsidRPr="00000178">
        <w:rPr>
          <w:rFonts w:ascii="Arial" w:hAnsi="Arial" w:cs="Arial"/>
          <w:bCs/>
          <w:sz w:val="22"/>
          <w:szCs w:val="22"/>
        </w:rPr>
        <w:t xml:space="preserve">prevalence and/or incidence </w:t>
      </w:r>
      <w:r w:rsidR="007A4852" w:rsidRPr="00000178">
        <w:rPr>
          <w:rFonts w:ascii="Arial" w:hAnsi="Arial" w:cs="Arial"/>
          <w:sz w:val="22"/>
          <w:szCs w:val="22"/>
        </w:rPr>
        <w:t xml:space="preserve">of </w:t>
      </w:r>
      <w:r w:rsidR="007A4852" w:rsidRPr="00000178">
        <w:rPr>
          <w:rFonts w:ascii="Arial" w:hAnsi="Arial" w:cs="Arial"/>
          <w:bCs/>
          <w:sz w:val="22"/>
          <w:szCs w:val="22"/>
        </w:rPr>
        <w:t>anxiety and depression</w:t>
      </w:r>
      <w:r w:rsidR="007A4852" w:rsidRPr="00000178">
        <w:rPr>
          <w:rFonts w:ascii="Arial" w:hAnsi="Arial" w:cs="Arial"/>
          <w:sz w:val="22"/>
          <w:szCs w:val="22"/>
        </w:rPr>
        <w:t xml:space="preserve"> in </w:t>
      </w:r>
      <w:r w:rsidR="007A4852" w:rsidRPr="00000178">
        <w:rPr>
          <w:rFonts w:ascii="Arial" w:hAnsi="Arial" w:cs="Arial"/>
          <w:bCs/>
          <w:sz w:val="22"/>
          <w:szCs w:val="22"/>
        </w:rPr>
        <w:t xml:space="preserve">children and young people (aged 5-25 years) </w:t>
      </w:r>
      <w:r w:rsidR="007A4852" w:rsidRPr="00000178">
        <w:rPr>
          <w:rFonts w:ascii="Arial" w:hAnsi="Arial" w:cs="Arial"/>
          <w:sz w:val="22"/>
          <w:szCs w:val="22"/>
        </w:rPr>
        <w:t xml:space="preserve">with a range of </w:t>
      </w:r>
      <w:r w:rsidR="007A4852" w:rsidRPr="00000178">
        <w:rPr>
          <w:rFonts w:ascii="Arial" w:hAnsi="Arial" w:cs="Arial"/>
          <w:bCs/>
          <w:sz w:val="22"/>
          <w:szCs w:val="22"/>
        </w:rPr>
        <w:t>life-limiting conditions (LLCs).</w:t>
      </w:r>
      <w:r w:rsidR="00456EA8" w:rsidRPr="00000178">
        <w:rPr>
          <w:rFonts w:ascii="Arial" w:hAnsi="Arial" w:cs="Arial"/>
          <w:bCs/>
          <w:sz w:val="22"/>
          <w:szCs w:val="22"/>
        </w:rPr>
        <w:t xml:space="preserve"> Mental health problems among children and young people are a growing public health concern worldwide. Living with a LLC can introduce multiple challenges into the lives of children and young people</w:t>
      </w:r>
      <w:r w:rsidR="002D23CA" w:rsidRPr="00000178">
        <w:rPr>
          <w:rFonts w:ascii="Arial" w:hAnsi="Arial" w:cs="Arial"/>
          <w:bCs/>
          <w:sz w:val="22"/>
          <w:szCs w:val="22"/>
        </w:rPr>
        <w:t>,</w:t>
      </w:r>
      <w:r w:rsidR="00456EA8" w:rsidRPr="00000178">
        <w:rPr>
          <w:rFonts w:ascii="Arial" w:hAnsi="Arial" w:cs="Arial"/>
          <w:bCs/>
          <w:sz w:val="22"/>
          <w:szCs w:val="22"/>
        </w:rPr>
        <w:t xml:space="preserve"> which may make them vulnerable to mental health problems. Therefore, this review aimed to assess the extent of this problem in order to guide further research and clinical guidelines.</w:t>
      </w:r>
    </w:p>
    <w:p w14:paraId="05BB3DD4" w14:textId="77777777" w:rsidR="00EC26B5" w:rsidRPr="00000178" w:rsidRDefault="00EC26B5" w:rsidP="00000178">
      <w:pPr>
        <w:pStyle w:val="NormalWeb"/>
        <w:spacing w:before="0" w:beforeAutospacing="0"/>
        <w:rPr>
          <w:rFonts w:ascii="Arial" w:hAnsi="Arial" w:cs="Arial"/>
          <w:bCs/>
          <w:sz w:val="22"/>
          <w:szCs w:val="22"/>
        </w:rPr>
      </w:pPr>
      <w:r w:rsidRPr="00000178">
        <w:rPr>
          <w:rFonts w:ascii="Arial" w:hAnsi="Arial" w:cs="Arial"/>
          <w:bCs/>
          <w:sz w:val="22"/>
          <w:szCs w:val="22"/>
        </w:rPr>
        <w:t>A robust systematic review was conducted, which identified 38 studies assessing the prevalence of anxiety or depression in a range of LLCs. Meta-analyses of the included studies revealed a high pooled prevalence of both anxiety, 18.7%, and depression; 14.1%. A</w:t>
      </w:r>
      <w:r w:rsidR="00825A09" w:rsidRPr="00000178">
        <w:rPr>
          <w:rFonts w:ascii="Arial" w:hAnsi="Arial" w:cs="Arial"/>
          <w:bCs/>
          <w:sz w:val="22"/>
          <w:szCs w:val="22"/>
        </w:rPr>
        <w:t xml:space="preserve">nalyses were </w:t>
      </w:r>
      <w:r w:rsidRPr="00000178">
        <w:rPr>
          <w:rFonts w:ascii="Arial" w:hAnsi="Arial" w:cs="Arial"/>
          <w:bCs/>
          <w:sz w:val="22"/>
          <w:szCs w:val="22"/>
        </w:rPr>
        <w:t>also conducted to identify factors associated with anxiety and depression prevalence</w:t>
      </w:r>
      <w:r w:rsidR="00825A09" w:rsidRPr="00000178">
        <w:rPr>
          <w:rFonts w:ascii="Arial" w:hAnsi="Arial" w:cs="Arial"/>
          <w:bCs/>
          <w:sz w:val="22"/>
          <w:szCs w:val="22"/>
        </w:rPr>
        <w:t>, finding the use of screening questionnaires to be significantly associated with higher anxiety prevalence, whilst older age and female sex were significantly associated with higher depression prevalence.</w:t>
      </w:r>
    </w:p>
    <w:p w14:paraId="7B3FA396" w14:textId="77777777" w:rsidR="00B57505" w:rsidRPr="00000178" w:rsidRDefault="00B57505" w:rsidP="00000178">
      <w:pPr>
        <w:pStyle w:val="NormalWeb"/>
        <w:spacing w:before="0" w:beforeAutospacing="0"/>
        <w:rPr>
          <w:rFonts w:ascii="Arial" w:hAnsi="Arial" w:cs="Arial"/>
          <w:bCs/>
          <w:sz w:val="22"/>
          <w:szCs w:val="22"/>
        </w:rPr>
      </w:pPr>
      <w:r w:rsidRPr="00000178">
        <w:rPr>
          <w:rFonts w:ascii="Arial" w:hAnsi="Arial" w:cs="Arial"/>
          <w:bCs/>
          <w:sz w:val="22"/>
          <w:szCs w:val="22"/>
        </w:rPr>
        <w:t>The findings from this review show that there is a high prevalence of anxiety and depression among children and young people with LLCs. However, very few of the included studies assessed children and young people with neurological diseases, a group which makes up a significant proportion of the population of children and young people with LLCs. In addition, no studies measured incidence, which is crucial in understanding the epidemiology of mental health probl</w:t>
      </w:r>
      <w:r w:rsidR="00EC26B5" w:rsidRPr="00000178">
        <w:rPr>
          <w:rFonts w:ascii="Arial" w:hAnsi="Arial" w:cs="Arial"/>
          <w:bCs/>
          <w:sz w:val="22"/>
          <w:szCs w:val="22"/>
        </w:rPr>
        <w:t xml:space="preserve">ems within this patient group. </w:t>
      </w:r>
      <w:r w:rsidRPr="00000178">
        <w:rPr>
          <w:rFonts w:ascii="Arial" w:hAnsi="Arial" w:cs="Arial"/>
          <w:bCs/>
          <w:sz w:val="22"/>
          <w:szCs w:val="22"/>
        </w:rPr>
        <w:t>Finally, although diagnostic interviews, older age and female sex were identified as significant in anxiety and depression prevalence, it is important to gain a full understanding of the factors which have previously been found to be associated with anxiety and depression prevalence. Therefore, the next steps of my PhD are as follows:</w:t>
      </w:r>
    </w:p>
    <w:p w14:paraId="5373ACD3" w14:textId="77777777" w:rsidR="00B57505" w:rsidRPr="00000178" w:rsidRDefault="002D23CA" w:rsidP="00000178">
      <w:pPr>
        <w:pStyle w:val="NormalWeb"/>
        <w:numPr>
          <w:ilvl w:val="0"/>
          <w:numId w:val="4"/>
        </w:numPr>
        <w:spacing w:before="0" w:beforeAutospacing="0"/>
        <w:rPr>
          <w:rFonts w:ascii="Arial" w:hAnsi="Arial" w:cs="Arial"/>
          <w:bCs/>
          <w:sz w:val="22"/>
          <w:szCs w:val="22"/>
        </w:rPr>
      </w:pPr>
      <w:r w:rsidRPr="00000178">
        <w:rPr>
          <w:rFonts w:ascii="Arial" w:hAnsi="Arial" w:cs="Arial"/>
          <w:bCs/>
          <w:sz w:val="22"/>
          <w:szCs w:val="22"/>
        </w:rPr>
        <w:t>Systematic review of factors associated with anxiety and depression in children and young people with LLCs</w:t>
      </w:r>
    </w:p>
    <w:p w14:paraId="17B9F3E5" w14:textId="77777777" w:rsidR="002D23CA" w:rsidRPr="00000178" w:rsidRDefault="002D23CA" w:rsidP="00000178">
      <w:pPr>
        <w:pStyle w:val="NormalWeb"/>
        <w:numPr>
          <w:ilvl w:val="0"/>
          <w:numId w:val="4"/>
        </w:numPr>
        <w:spacing w:before="0" w:beforeAutospacing="0"/>
        <w:rPr>
          <w:rFonts w:ascii="Arial" w:hAnsi="Arial" w:cs="Arial"/>
          <w:bCs/>
          <w:sz w:val="22"/>
          <w:szCs w:val="22"/>
        </w:rPr>
      </w:pPr>
      <w:r w:rsidRPr="00000178">
        <w:rPr>
          <w:rFonts w:ascii="Arial" w:hAnsi="Arial" w:cs="Arial"/>
          <w:bCs/>
          <w:sz w:val="22"/>
          <w:szCs w:val="22"/>
        </w:rPr>
        <w:t>Secondary data analysis of large UK dataset to analyse prevalence, incidence and associated factors of anxiety and depression in children and young people with LLCs</w:t>
      </w:r>
    </w:p>
    <w:p w14:paraId="53CE587B" w14:textId="77777777" w:rsidR="00456EA8" w:rsidRPr="00000178" w:rsidRDefault="00456EA8" w:rsidP="00000178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2E253AAE" w14:textId="77777777" w:rsidR="00466A72" w:rsidRPr="00000178" w:rsidRDefault="00466A72" w:rsidP="00000178">
      <w:pPr>
        <w:spacing w:line="240" w:lineRule="auto"/>
        <w:rPr>
          <w:rFonts w:ascii="Arial" w:hAnsi="Arial" w:cs="Arial"/>
        </w:rPr>
      </w:pPr>
    </w:p>
    <w:sectPr w:rsidR="00466A72" w:rsidRPr="0000017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48851" w14:textId="77777777" w:rsidR="00000178" w:rsidRDefault="00000178" w:rsidP="00000178">
      <w:pPr>
        <w:spacing w:after="0" w:line="240" w:lineRule="auto"/>
      </w:pPr>
      <w:r>
        <w:separator/>
      </w:r>
    </w:p>
  </w:endnote>
  <w:endnote w:type="continuationSeparator" w:id="0">
    <w:p w14:paraId="70303C99" w14:textId="77777777" w:rsidR="00000178" w:rsidRDefault="00000178" w:rsidP="0000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C9D01" w14:textId="77777777" w:rsidR="00000178" w:rsidRDefault="00000178" w:rsidP="00000178">
      <w:pPr>
        <w:spacing w:after="0" w:line="240" w:lineRule="auto"/>
      </w:pPr>
      <w:r>
        <w:separator/>
      </w:r>
    </w:p>
  </w:footnote>
  <w:footnote w:type="continuationSeparator" w:id="0">
    <w:p w14:paraId="669B6910" w14:textId="77777777" w:rsidR="00000178" w:rsidRDefault="00000178" w:rsidP="0000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B954" w14:textId="6E5C7E6E" w:rsidR="00000178" w:rsidRDefault="000E5DB5" w:rsidP="00000178">
    <w:pPr>
      <w:pStyle w:val="Header"/>
    </w:pPr>
    <w:r w:rsidRPr="000E5DB5">
      <w:rPr>
        <w:b/>
        <w:color w:val="298B86"/>
        <w:sz w:val="32"/>
        <w:szCs w:val="32"/>
      </w:rPr>
      <w:t>World Mental Health Day 2018</w:t>
    </w:r>
    <w:r w:rsidR="00000178" w:rsidRPr="000E5DB5">
      <w:rPr>
        <w:b/>
        <w:color w:val="33ABA5"/>
        <w:sz w:val="32"/>
        <w:szCs w:val="32"/>
      </w:rPr>
      <w:ptab w:relativeTo="margin" w:alignment="right" w:leader="none"/>
    </w:r>
    <w:r>
      <w:rPr>
        <w:rFonts w:ascii="Calibri" w:hAnsi="Calibri" w:cs="Calibri"/>
        <w:noProof/>
        <w:color w:val="000000"/>
        <w:lang w:eastAsia="en-GB"/>
      </w:rPr>
      <w:drawing>
        <wp:inline distT="0" distB="0" distL="0" distR="0" wp14:anchorId="7A2561C9" wp14:editId="07255ACD">
          <wp:extent cx="1504950" cy="692150"/>
          <wp:effectExtent l="0" t="0" r="0" b="0"/>
          <wp:docPr id="2" name="Picture 2" descr="C:\Users\sdb518\Downloads\UOY-Logo-Stacked-shield-Black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db518\Downloads\UOY-Logo-Stacked-shield-Black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9E4"/>
    <w:multiLevelType w:val="hybridMultilevel"/>
    <w:tmpl w:val="C47EAC76"/>
    <w:lvl w:ilvl="0" w:tplc="BFA6E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7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E8A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EC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EF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AF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22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41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01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E63EA8"/>
    <w:multiLevelType w:val="hybridMultilevel"/>
    <w:tmpl w:val="DD44380C"/>
    <w:lvl w:ilvl="0" w:tplc="7D4AF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86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03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6C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0B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03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C5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8B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2AE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AD3CE7"/>
    <w:multiLevelType w:val="hybridMultilevel"/>
    <w:tmpl w:val="5A000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A56E5"/>
    <w:multiLevelType w:val="hybridMultilevel"/>
    <w:tmpl w:val="90B4B33A"/>
    <w:lvl w:ilvl="0" w:tplc="55E6C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4C5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2B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68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2D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AE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84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B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E7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52"/>
    <w:rsid w:val="00000178"/>
    <w:rsid w:val="000A2F2D"/>
    <w:rsid w:val="000E5DB5"/>
    <w:rsid w:val="002D23CA"/>
    <w:rsid w:val="003D327F"/>
    <w:rsid w:val="003D5683"/>
    <w:rsid w:val="00456EA8"/>
    <w:rsid w:val="00466A72"/>
    <w:rsid w:val="006C7F7F"/>
    <w:rsid w:val="007A4852"/>
    <w:rsid w:val="00825A09"/>
    <w:rsid w:val="00B57505"/>
    <w:rsid w:val="00CF1C01"/>
    <w:rsid w:val="00EC26B5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CE09D"/>
  <w15:chartTrackingRefBased/>
  <w15:docId w15:val="{54E24769-0E29-4399-A7ED-088D51C9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575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0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178"/>
  </w:style>
  <w:style w:type="paragraph" w:styleId="Footer">
    <w:name w:val="footer"/>
    <w:basedOn w:val="Normal"/>
    <w:link w:val="FooterChar"/>
    <w:uiPriority w:val="99"/>
    <w:unhideWhenUsed/>
    <w:rsid w:val="00000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0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C7BB6-581D-4873-877B-5165292D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Barker</dc:creator>
  <cp:keywords/>
  <dc:description/>
  <cp:lastModifiedBy>Alex Blundell</cp:lastModifiedBy>
  <cp:revision>2</cp:revision>
  <dcterms:created xsi:type="dcterms:W3CDTF">2018-12-10T15:37:00Z</dcterms:created>
  <dcterms:modified xsi:type="dcterms:W3CDTF">2018-12-10T15:37:00Z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http://www.zotero.org/styles/sage-vancouver</vt:lpwstr>
  </property>
  <property fmtid="{D5CDD505-2E9C-101B-9397-08002B2CF9AE}" pid="19" name="Mendeley Recent Style Name 8_1">
    <vt:lpwstr>SAGE - Vancouver</vt:lpwstr>
  </property>
  <property fmtid="{D5CDD505-2E9C-101B-9397-08002B2CF9AE}" pid="20" name="Mendeley Recent Style Id 9_1">
    <vt:lpwstr>http://www.zotero.org/styles/university-of-york-harvard</vt:lpwstr>
  </property>
  <property fmtid="{D5CDD505-2E9C-101B-9397-08002B2CF9AE}" pid="21" name="Mendeley Recent Style Name 9_1">
    <vt:lpwstr>University of York - Harvard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26ad790d-9b2c-31ee-9477-06dfadb8f1f9</vt:lpwstr>
  </property>
  <property fmtid="{D5CDD505-2E9C-101B-9397-08002B2CF9AE}" pid="24" name="Mendeley Citation Style_1">
    <vt:lpwstr>http://www.zotero.org/styles/sage-vancouver</vt:lpwstr>
  </property>
</Properties>
</file>