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62610F5" w:rsidR="009B71BF" w:rsidRDefault="00715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Definitions for applying the marking rubric for the Pre-registration</w:t>
      </w:r>
      <w:bookmarkStart w:id="0" w:name="_GoBack"/>
      <w:bookmarkEnd w:id="0"/>
      <w:r w:rsidR="000E7968">
        <w:rPr>
          <w:b/>
          <w:sz w:val="28"/>
          <w:szCs w:val="28"/>
        </w:rPr>
        <w:t xml:space="preserve"> Nursing and Nurse Associate programmes (2019 onwards)</w:t>
      </w:r>
    </w:p>
    <w:p w14:paraId="00000002" w14:textId="77777777" w:rsidR="009B71BF" w:rsidRDefault="009B71BF">
      <w:pPr>
        <w:rPr>
          <w:b/>
          <w:sz w:val="24"/>
          <w:szCs w:val="24"/>
        </w:rPr>
      </w:pPr>
    </w:p>
    <w:p w14:paraId="00000003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t>Knowledge</w:t>
      </w:r>
      <w:r>
        <w:rPr>
          <w:sz w:val="24"/>
          <w:szCs w:val="24"/>
        </w:rPr>
        <w:t xml:space="preserve">: </w:t>
      </w:r>
    </w:p>
    <w:p w14:paraId="00000004" w14:textId="77777777" w:rsidR="009B71BF" w:rsidRDefault="000E7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Depth of knowledge base</w:t>
      </w:r>
      <w:r>
        <w:rPr>
          <w:color w:val="000000"/>
          <w:sz w:val="24"/>
          <w:szCs w:val="24"/>
        </w:rPr>
        <w:t xml:space="preserve">: </w:t>
      </w:r>
    </w:p>
    <w:p w14:paraId="00000005" w14:textId="77777777" w:rsidR="009B71BF" w:rsidRDefault="000E7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Identifies and defines key concepts, principles and ideas associated with the subject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demonstrates an ability to interpret and evaluate these within the context of nursing. </w:t>
      </w:r>
    </w:p>
    <w:p w14:paraId="00000006" w14:textId="77777777" w:rsidR="009B71BF" w:rsidRDefault="000E7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Identifies the strengths and limitations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f those key concepts, principles and ideas.</w:t>
      </w:r>
    </w:p>
    <w:p w14:paraId="00000007" w14:textId="77777777" w:rsidR="009B71BF" w:rsidRDefault="009B71B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08" w14:textId="77777777" w:rsidR="009B71BF" w:rsidRDefault="000E7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Breadth </w:t>
      </w:r>
      <w:r>
        <w:rPr>
          <w:b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 xml:space="preserve">clarity, expression &amp; progression of ideas) &amp; Relevance (accuracy): </w:t>
      </w:r>
    </w:p>
    <w:p w14:paraId="00000009" w14:textId="77777777" w:rsidR="009B71BF" w:rsidRDefault="000E7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emonstrates a wide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understanding of the subject knowledge base and its terminology and theories.</w:t>
      </w:r>
      <w:r>
        <w:rPr>
          <w:sz w:val="24"/>
          <w:szCs w:val="24"/>
        </w:rPr>
        <w:t xml:space="preserve"> </w:t>
      </w:r>
    </w:p>
    <w:p w14:paraId="0000000A" w14:textId="77777777" w:rsidR="009B71BF" w:rsidRDefault="000E7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Clearly and accurately explains key concepts, principles and ideas in order to develop a logical, coherent discussion and </w:t>
      </w:r>
      <w:r>
        <w:rPr>
          <w:sz w:val="24"/>
          <w:szCs w:val="24"/>
        </w:rPr>
        <w:t xml:space="preserve">demonstrates </w:t>
      </w:r>
      <w:r>
        <w:rPr>
          <w:color w:val="000000"/>
          <w:sz w:val="24"/>
          <w:szCs w:val="24"/>
        </w:rPr>
        <w:t>a progression of ideas.</w:t>
      </w:r>
    </w:p>
    <w:p w14:paraId="0000000B" w14:textId="77777777" w:rsidR="009B71BF" w:rsidRDefault="009B71BF">
      <w:pPr>
        <w:rPr>
          <w:b/>
          <w:sz w:val="24"/>
          <w:szCs w:val="24"/>
        </w:rPr>
      </w:pPr>
    </w:p>
    <w:p w14:paraId="0000000C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t>Content:</w:t>
      </w:r>
      <w:r>
        <w:rPr>
          <w:sz w:val="24"/>
          <w:szCs w:val="24"/>
        </w:rPr>
        <w:t xml:space="preserve"> </w:t>
      </w:r>
    </w:p>
    <w:p w14:paraId="0000000D" w14:textId="77777777" w:rsidR="009B71BF" w:rsidRDefault="000E7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Purpose of work (clarity, precision &amp; relevance)</w:t>
      </w:r>
      <w:r>
        <w:rPr>
          <w:color w:val="000000"/>
          <w:sz w:val="24"/>
          <w:szCs w:val="24"/>
        </w:rPr>
        <w:t xml:space="preserve">: </w:t>
      </w:r>
    </w:p>
    <w:p w14:paraId="0000000E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Clearly identifies a well-defined focus for enquiry/discussion and plan to explore the subject.</w:t>
      </w:r>
    </w:p>
    <w:p w14:paraId="0000000F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Clearly identifies and defines key concepts, principles</w:t>
      </w:r>
      <w:r>
        <w:rPr>
          <w:sz w:val="24"/>
          <w:szCs w:val="24"/>
        </w:rPr>
        <w:t xml:space="preserve"> and </w:t>
      </w:r>
      <w:r>
        <w:rPr>
          <w:color w:val="000000"/>
          <w:sz w:val="24"/>
          <w:szCs w:val="24"/>
        </w:rPr>
        <w:t xml:space="preserve">ideas that are relevant to the discussion. </w:t>
      </w:r>
    </w:p>
    <w:p w14:paraId="00000010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professional, ethical and moral issues and is able to discuss these in relation to own personal beliefs, the ongoing process of learning and professional development.  </w:t>
      </w:r>
    </w:p>
    <w:p w14:paraId="00000011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Justifies conclusions.</w:t>
      </w:r>
    </w:p>
    <w:p w14:paraId="00000012" w14:textId="77777777" w:rsidR="009B71BF" w:rsidRDefault="009B71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3" w14:textId="77777777" w:rsidR="009B71BF" w:rsidRDefault="009B71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4" w14:textId="77777777" w:rsidR="009B71BF" w:rsidRDefault="000E7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Accuracy (</w:t>
      </w:r>
      <w:r>
        <w:rPr>
          <w:b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mount, range, quality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&amp; application of source material)</w:t>
      </w:r>
      <w:r>
        <w:rPr>
          <w:color w:val="000000"/>
          <w:sz w:val="24"/>
          <w:szCs w:val="24"/>
        </w:rPr>
        <w:t xml:space="preserve">: </w:t>
      </w:r>
    </w:p>
    <w:p w14:paraId="00000015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Uses a range of methods to collect evidence from a variety of information sources and communicates this within the work. </w:t>
      </w:r>
    </w:p>
    <w:p w14:paraId="00000016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Demonstrates an a</w:t>
      </w:r>
      <w:r>
        <w:rPr>
          <w:color w:val="000000"/>
          <w:sz w:val="24"/>
          <w:szCs w:val="24"/>
        </w:rPr>
        <w:t xml:space="preserve">bility to appraise the quality of sources used. </w:t>
      </w:r>
    </w:p>
    <w:p w14:paraId="00000017" w14:textId="77777777" w:rsidR="009B71BF" w:rsidRDefault="000E7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Explicit links made to the evidence base within the discussion to support key ideas and concepts explored. </w:t>
      </w:r>
    </w:p>
    <w:p w14:paraId="00000018" w14:textId="77777777" w:rsidR="009B71BF" w:rsidRDefault="009B71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</w:p>
    <w:p w14:paraId="00000019" w14:textId="77777777" w:rsidR="009B71BF" w:rsidRDefault="009B71BF">
      <w:pPr>
        <w:rPr>
          <w:b/>
          <w:sz w:val="18"/>
          <w:szCs w:val="18"/>
        </w:rPr>
      </w:pPr>
    </w:p>
    <w:p w14:paraId="0000001A" w14:textId="77777777" w:rsidR="009B71BF" w:rsidRDefault="009B71BF">
      <w:pPr>
        <w:rPr>
          <w:b/>
          <w:sz w:val="24"/>
          <w:szCs w:val="24"/>
        </w:rPr>
      </w:pPr>
    </w:p>
    <w:p w14:paraId="0000001B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Comprehension:</w:t>
      </w:r>
      <w:r>
        <w:rPr>
          <w:sz w:val="24"/>
          <w:szCs w:val="24"/>
        </w:rPr>
        <w:t xml:space="preserve"> </w:t>
      </w:r>
    </w:p>
    <w:p w14:paraId="0000001C" w14:textId="77777777" w:rsidR="009B71BF" w:rsidRDefault="000E79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r>
        <w:rPr>
          <w:sz w:val="24"/>
          <w:szCs w:val="24"/>
        </w:rPr>
        <w:t>Clearly explains key concepts, principles and ideas in own words, using the evidence base to support this.</w:t>
      </w:r>
    </w:p>
    <w:p w14:paraId="0000001D" w14:textId="77777777" w:rsidR="009B71BF" w:rsidRDefault="000E79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Provides examples of how these may present within a practice context, </w:t>
      </w:r>
      <w:r>
        <w:rPr>
          <w:b/>
          <w:sz w:val="24"/>
          <w:szCs w:val="24"/>
        </w:rPr>
        <w:t>in relation to your current point on the programme</w:t>
      </w:r>
      <w:r>
        <w:rPr>
          <w:sz w:val="24"/>
          <w:szCs w:val="24"/>
        </w:rPr>
        <w:t>.</w:t>
      </w:r>
    </w:p>
    <w:p w14:paraId="0000001E" w14:textId="77777777" w:rsidR="009B71BF" w:rsidRDefault="000E7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Explores the meaning of the perspectives being discussed.</w:t>
      </w:r>
    </w:p>
    <w:p w14:paraId="0000001F" w14:textId="77777777" w:rsidR="009B71BF" w:rsidRDefault="000E7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Identifies and differentiates core parts of those perspectives being explored; pinpointing the important/relevant ones for the discussion.</w:t>
      </w:r>
    </w:p>
    <w:p w14:paraId="00000020" w14:textId="77777777" w:rsidR="009B71BF" w:rsidRDefault="000E7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Organises and distinguishes between the different parts of those perspectives/ideas; exploring the relationships and connections between the parts. </w:t>
      </w:r>
    </w:p>
    <w:p w14:paraId="00000021" w14:textId="77777777" w:rsidR="009B71BF" w:rsidRDefault="000E7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Justifies and draws own conclusions, with support from the evidence base and practice examples. </w:t>
      </w:r>
    </w:p>
    <w:p w14:paraId="00000022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3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t>Reasoning (critical thinking)</w:t>
      </w:r>
      <w:r>
        <w:rPr>
          <w:sz w:val="24"/>
          <w:szCs w:val="24"/>
        </w:rPr>
        <w:t xml:space="preserve">: </w:t>
      </w:r>
    </w:p>
    <w:p w14:paraId="00000024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Identifies own perspective, assumptions and position regarding the subject, prior to learning.</w:t>
      </w:r>
    </w:p>
    <w:p w14:paraId="00000025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evelops a perspective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with use of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ounter-perspectives, </w:t>
      </w:r>
      <w:r>
        <w:rPr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highlight </w:t>
      </w:r>
      <w:r>
        <w:rPr>
          <w:sz w:val="24"/>
          <w:szCs w:val="24"/>
        </w:rPr>
        <w:t xml:space="preserve">different </w:t>
      </w:r>
      <w:r>
        <w:rPr>
          <w:color w:val="000000"/>
          <w:sz w:val="24"/>
          <w:szCs w:val="24"/>
        </w:rPr>
        <w:t xml:space="preserve">ways of thinking about the subject. </w:t>
      </w:r>
    </w:p>
    <w:p w14:paraId="00000026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Explores and develops those ideas against recognised standards or frameworks (E.g. nursing activities measured against the current NMC Code).</w:t>
      </w:r>
    </w:p>
    <w:p w14:paraId="00000027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Judges the strengths and limitations of the perspectives discussed; comparing and contrasting these with other approaches.</w:t>
      </w:r>
    </w:p>
    <w:p w14:paraId="00000028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Identifies and considers the influence of contextual factors (professional, cultural, ethical, moral, legal, human, economic, historical, environmental, etc.); exploring the challenges these may present and the implications these may have upon an approach or way of thinking.  </w:t>
      </w:r>
    </w:p>
    <w:p w14:paraId="00000029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Proposes and evaluates possible solutions which may enhance or minimise the impact of the contextual factors within a practice context.  </w:t>
      </w:r>
    </w:p>
    <w:p w14:paraId="0000002A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Evaluates key themes and ideas in order to create an informed, deeper understanding of the subject.  </w:t>
      </w:r>
    </w:p>
    <w:p w14:paraId="0000002B" w14:textId="77777777" w:rsidR="009B71BF" w:rsidRDefault="009B71BF">
      <w:pPr>
        <w:rPr>
          <w:b/>
          <w:sz w:val="24"/>
          <w:szCs w:val="24"/>
        </w:rPr>
      </w:pPr>
    </w:p>
    <w:p w14:paraId="0000002C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t>Application</w:t>
      </w:r>
      <w:r>
        <w:rPr>
          <w:sz w:val="24"/>
          <w:szCs w:val="24"/>
        </w:rPr>
        <w:t xml:space="preserve">: </w:t>
      </w:r>
    </w:p>
    <w:p w14:paraId="0000002D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Consistently makes c</w:t>
      </w:r>
      <w:r>
        <w:rPr>
          <w:color w:val="000000"/>
          <w:sz w:val="24"/>
          <w:szCs w:val="24"/>
        </w:rPr>
        <w:t xml:space="preserve">lear links between own or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bserved practice and </w:t>
      </w:r>
      <w:r>
        <w:rPr>
          <w:sz w:val="24"/>
          <w:szCs w:val="24"/>
        </w:rPr>
        <w:t>the literature.</w:t>
      </w:r>
    </w:p>
    <w:p w14:paraId="0000002E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Uses examples from practice (</w:t>
      </w:r>
      <w:r>
        <w:rPr>
          <w:b/>
          <w:sz w:val="24"/>
          <w:szCs w:val="24"/>
        </w:rPr>
        <w:t>in relation to your current point on the programme)</w:t>
      </w:r>
      <w:r>
        <w:rPr>
          <w:sz w:val="24"/>
          <w:szCs w:val="24"/>
        </w:rPr>
        <w:t xml:space="preserve"> to illustrate how the key concepts, principles and ideas may be implemented in a situation or context.</w:t>
      </w:r>
    </w:p>
    <w:p w14:paraId="0000002F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Demonstrates an awareness of own role and responsibilities within a practice context, in relation to the professional standards outlined in the current NMC Code (</w:t>
      </w:r>
      <w:hyperlink r:id="rId8">
        <w:r>
          <w:rPr>
            <w:color w:val="1155CC"/>
            <w:sz w:val="24"/>
            <w:szCs w:val="24"/>
            <w:u w:val="single"/>
          </w:rPr>
          <w:t>https://www.nmc.org.uk/standards/code/</w:t>
        </w:r>
      </w:hyperlink>
      <w:r>
        <w:rPr>
          <w:sz w:val="24"/>
          <w:szCs w:val="24"/>
        </w:rPr>
        <w:t>).</w:t>
      </w:r>
    </w:p>
    <w:p w14:paraId="00000030" w14:textId="77777777" w:rsidR="009B71BF" w:rsidRDefault="009B71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31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Reflects upon personal beliefs, knowledge, values and capabilities in order to identify strengths and limitations in these areas.</w:t>
      </w:r>
    </w:p>
    <w:p w14:paraId="00000032" w14:textId="77777777" w:rsidR="009B71BF" w:rsidRDefault="000E7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Examines areas requiring personal and professional development and considers strategies to address these.  </w:t>
      </w:r>
    </w:p>
    <w:p w14:paraId="00000033" w14:textId="77777777" w:rsidR="009B71BF" w:rsidRDefault="009B71BF">
      <w:pPr>
        <w:rPr>
          <w:b/>
          <w:sz w:val="24"/>
          <w:szCs w:val="24"/>
        </w:rPr>
      </w:pPr>
    </w:p>
    <w:p w14:paraId="00000034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t>Structure &amp; Presentation</w:t>
      </w:r>
      <w:r>
        <w:rPr>
          <w:sz w:val="24"/>
          <w:szCs w:val="24"/>
        </w:rPr>
        <w:t xml:space="preserve">: </w:t>
      </w:r>
    </w:p>
    <w:p w14:paraId="00000035" w14:textId="77777777" w:rsidR="009B71BF" w:rsidRDefault="000E79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Organisation</w:t>
      </w:r>
      <w:r>
        <w:rPr>
          <w:color w:val="000000"/>
          <w:sz w:val="24"/>
          <w:szCs w:val="24"/>
        </w:rPr>
        <w:t xml:space="preserve">: </w:t>
      </w:r>
    </w:p>
    <w:p w14:paraId="00000036" w14:textId="77777777" w:rsidR="009B71BF" w:rsidRDefault="000E7968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Presents a clear introduction which outlines the focus, purpose and context of the topic. </w:t>
      </w:r>
    </w:p>
    <w:p w14:paraId="00000037" w14:textId="77777777" w:rsidR="009B71BF" w:rsidRDefault="000E7968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Definitions are provided as topics are introduced. </w:t>
      </w:r>
    </w:p>
    <w:p w14:paraId="00000038" w14:textId="77777777" w:rsidR="009B71BF" w:rsidRDefault="000E7968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Key points are organised in a logical way which enables the discussion to progress. </w:t>
      </w:r>
    </w:p>
    <w:p w14:paraId="00000039" w14:textId="77777777" w:rsidR="009B71BF" w:rsidRDefault="000E7968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Presents a balanced argument, using theory to support throughout.</w:t>
      </w:r>
    </w:p>
    <w:p w14:paraId="0000003A" w14:textId="77777777" w:rsidR="009B71BF" w:rsidRDefault="000E7968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Uses signposting within paragraphs by making links between paragraphs and sub-topics, to aid the logical flow of work towards the conclusion.</w:t>
      </w:r>
    </w:p>
    <w:p w14:paraId="0000003B" w14:textId="77777777" w:rsidR="009B71BF" w:rsidRDefault="000E7968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Conclusion summarises discussion from the main body; identifies key points; and uses sources/evidence base to support conclusions. </w:t>
      </w:r>
    </w:p>
    <w:p w14:paraId="0000003C" w14:textId="77777777" w:rsidR="009B71BF" w:rsidRDefault="000E7968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Keeps within the assessment word/time allowance (10% leeway).</w:t>
      </w:r>
    </w:p>
    <w:p w14:paraId="0000003D" w14:textId="77777777" w:rsidR="009B71BF" w:rsidRDefault="000E79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Style &amp; Mechanics</w:t>
      </w:r>
      <w:r>
        <w:rPr>
          <w:color w:val="000000"/>
          <w:sz w:val="24"/>
          <w:szCs w:val="24"/>
        </w:rPr>
        <w:t>:</w:t>
      </w:r>
    </w:p>
    <w:p w14:paraId="0000003E" w14:textId="77777777" w:rsidR="009B71BF" w:rsidRDefault="000E7968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Formats and presents the work in accordance with the University of York guidelines on presentation of assignments (Available on the student intranet: </w:t>
      </w:r>
      <w:hyperlink r:id="rId9">
        <w:r>
          <w:rPr>
            <w:color w:val="1155CC"/>
            <w:u w:val="single"/>
          </w:rPr>
          <w:t>https://www.york.ac.uk/healthsciences/student-intranet/teaching/submission/</w:t>
        </w:r>
      </w:hyperlink>
      <w:r>
        <w:t>)</w:t>
      </w:r>
    </w:p>
    <w:p w14:paraId="0000003F" w14:textId="77777777" w:rsidR="009B71BF" w:rsidRDefault="000E7968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Clarity and meaning of the work is not obscured through spelling errors, poor punctuation, poor grammar, misuse of abbreviations or poor sentence construction. </w:t>
      </w:r>
    </w:p>
    <w:p w14:paraId="00000040" w14:textId="77777777" w:rsidR="009B71BF" w:rsidRDefault="000E7968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work presented adopts an appropriate academic style and convention.</w:t>
      </w:r>
    </w:p>
    <w:p w14:paraId="00000041" w14:textId="77777777" w:rsidR="009B71BF" w:rsidRDefault="000E79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Presentation of references &amp; source material</w:t>
      </w:r>
      <w:r>
        <w:rPr>
          <w:color w:val="000000"/>
          <w:sz w:val="24"/>
          <w:szCs w:val="24"/>
        </w:rPr>
        <w:t xml:space="preserve">: </w:t>
      </w:r>
    </w:p>
    <w:p w14:paraId="00000042" w14:textId="77777777" w:rsidR="009B71BF" w:rsidRDefault="000E796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Consistently organises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 presents</w:t>
      </w:r>
      <w:r>
        <w:rPr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 xml:space="preserve">n-text citations and the reference list using the University of York Harvard style 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eferencing system, as specified </w:t>
      </w:r>
      <w:r>
        <w:rPr>
          <w:sz w:val="24"/>
          <w:szCs w:val="24"/>
        </w:rPr>
        <w:t xml:space="preserve">in </w:t>
      </w:r>
      <w:r>
        <w:rPr>
          <w:color w:val="000000"/>
          <w:sz w:val="24"/>
          <w:szCs w:val="24"/>
        </w:rPr>
        <w:t>the guidelines avai</w:t>
      </w:r>
      <w:r>
        <w:rPr>
          <w:sz w:val="24"/>
          <w:szCs w:val="24"/>
        </w:rPr>
        <w:t xml:space="preserve">lable </w:t>
      </w:r>
      <w:r>
        <w:rPr>
          <w:color w:val="000000"/>
          <w:sz w:val="24"/>
          <w:szCs w:val="24"/>
        </w:rPr>
        <w:t>on the University of York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student intranet:</w:t>
      </w:r>
      <w:r>
        <w:rPr>
          <w:sz w:val="24"/>
          <w:szCs w:val="24"/>
        </w:rPr>
        <w:t xml:space="preserve"> </w:t>
      </w:r>
      <w:hyperlink r:id="rId10">
        <w:r>
          <w:rPr>
            <w:color w:val="1155CC"/>
            <w:sz w:val="24"/>
            <w:szCs w:val="24"/>
            <w:u w:val="single"/>
          </w:rPr>
          <w:t>https://www.york.ac.uk/students/studying/develop-your-skills/study-skills/study/integrity/referencing-styles/harvard/</w:t>
        </w:r>
      </w:hyperlink>
    </w:p>
    <w:p w14:paraId="00000043" w14:textId="77777777" w:rsidR="009B71BF" w:rsidRDefault="000E796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Resources informing rubric development: </w:t>
      </w:r>
      <w:r>
        <w:rPr>
          <w:sz w:val="24"/>
          <w:szCs w:val="24"/>
        </w:rPr>
        <w:t xml:space="preserve"> </w:t>
      </w:r>
    </w:p>
    <w:p w14:paraId="00000044" w14:textId="77777777" w:rsidR="009B71BF" w:rsidRDefault="009B71BF">
      <w:pPr>
        <w:rPr>
          <w:sz w:val="24"/>
          <w:szCs w:val="24"/>
        </w:rPr>
      </w:pPr>
    </w:p>
    <w:p w14:paraId="00000045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Anderson, L.W. and </w:t>
      </w:r>
      <w:proofErr w:type="spellStart"/>
      <w:r>
        <w:rPr>
          <w:sz w:val="24"/>
          <w:szCs w:val="24"/>
        </w:rPr>
        <w:t>Krathwohl</w:t>
      </w:r>
      <w:proofErr w:type="spellEnd"/>
      <w:r>
        <w:rPr>
          <w:sz w:val="24"/>
          <w:szCs w:val="24"/>
        </w:rPr>
        <w:t xml:space="preserve">, D.R. (Eds.). (2001). </w:t>
      </w:r>
      <w:r>
        <w:rPr>
          <w:i/>
          <w:sz w:val="24"/>
          <w:szCs w:val="24"/>
        </w:rPr>
        <w:t>A taxonomy for learning, teaching, and assessing: A revision of Bloom’s Taxonomy of Educational Objectives.</w:t>
      </w:r>
      <w:r>
        <w:rPr>
          <w:sz w:val="24"/>
          <w:szCs w:val="24"/>
        </w:rPr>
        <w:t xml:space="preserve"> New York: Longman.</w:t>
      </w:r>
    </w:p>
    <w:p w14:paraId="00000046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7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Bloom, B. (1956). </w:t>
      </w:r>
      <w:r>
        <w:rPr>
          <w:i/>
          <w:sz w:val="24"/>
          <w:szCs w:val="24"/>
        </w:rPr>
        <w:t xml:space="preserve">Taxonomy of educational objectives: The classification of educational goals. </w:t>
      </w:r>
      <w:r>
        <w:rPr>
          <w:sz w:val="24"/>
          <w:szCs w:val="24"/>
        </w:rPr>
        <w:t xml:space="preserve">New York: McKay. </w:t>
      </w:r>
    </w:p>
    <w:p w14:paraId="00000048" w14:textId="77777777" w:rsidR="009B71BF" w:rsidRDefault="009B71BF">
      <w:pPr>
        <w:rPr>
          <w:sz w:val="24"/>
          <w:szCs w:val="24"/>
        </w:rPr>
      </w:pPr>
    </w:p>
    <w:p w14:paraId="00000049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Bloom, B.S. and </w:t>
      </w:r>
      <w:proofErr w:type="spellStart"/>
      <w:r>
        <w:rPr>
          <w:sz w:val="24"/>
          <w:szCs w:val="24"/>
        </w:rPr>
        <w:t>Krathwohl</w:t>
      </w:r>
      <w:proofErr w:type="spellEnd"/>
      <w:r>
        <w:rPr>
          <w:sz w:val="24"/>
          <w:szCs w:val="24"/>
        </w:rPr>
        <w:t xml:space="preserve">, D. R. (1956). </w:t>
      </w:r>
      <w:r>
        <w:rPr>
          <w:i/>
          <w:sz w:val="24"/>
          <w:szCs w:val="24"/>
        </w:rPr>
        <w:t>Taxonomy of educational objectives: The classification of educational goals, by a committee of college and university examiners.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Handbook I: Cognitive domain</w:t>
      </w:r>
      <w:r>
        <w:rPr>
          <w:sz w:val="24"/>
          <w:szCs w:val="24"/>
        </w:rPr>
        <w:t>. NY, NY: Longmans, Green.</w:t>
      </w:r>
    </w:p>
    <w:p w14:paraId="0000004A" w14:textId="77777777" w:rsidR="009B71BF" w:rsidRDefault="009B71BF">
      <w:pPr>
        <w:rPr>
          <w:sz w:val="24"/>
          <w:szCs w:val="24"/>
        </w:rPr>
      </w:pPr>
    </w:p>
    <w:p w14:paraId="0000004B" w14:textId="77777777" w:rsidR="009B71BF" w:rsidRDefault="000E796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Krathwohl</w:t>
      </w:r>
      <w:proofErr w:type="spellEnd"/>
      <w:r>
        <w:rPr>
          <w:sz w:val="24"/>
          <w:szCs w:val="24"/>
        </w:rPr>
        <w:t xml:space="preserve">, D. R. (2002). A revision of Bloom’s taxonomy: An overview. </w:t>
      </w:r>
      <w:r>
        <w:rPr>
          <w:i/>
          <w:sz w:val="24"/>
          <w:szCs w:val="24"/>
        </w:rPr>
        <w:t>Theory into practice,</w:t>
      </w:r>
      <w:r>
        <w:rPr>
          <w:sz w:val="24"/>
          <w:szCs w:val="24"/>
        </w:rPr>
        <w:t xml:space="preserve"> 41, (4), 212-218. [Online]. Available at: </w:t>
      </w:r>
      <w:hyperlink r:id="rId11">
        <w:r>
          <w:rPr>
            <w:color w:val="1155CC"/>
            <w:sz w:val="24"/>
            <w:szCs w:val="24"/>
            <w:u w:val="single"/>
          </w:rPr>
          <w:t xml:space="preserve">https://www.tandfonline.com/doi/pdf/10.1207/s15430421tip4104_2 </w:t>
        </w:r>
      </w:hyperlink>
      <w:r>
        <w:rPr>
          <w:sz w:val="24"/>
          <w:szCs w:val="24"/>
        </w:rPr>
        <w:t xml:space="preserve">[Accessed 7th September 2019]. </w:t>
      </w:r>
    </w:p>
    <w:p w14:paraId="0000004C" w14:textId="77777777" w:rsidR="009B71BF" w:rsidRDefault="009B71BF">
      <w:pPr>
        <w:rPr>
          <w:sz w:val="24"/>
          <w:szCs w:val="24"/>
        </w:rPr>
      </w:pPr>
    </w:p>
    <w:p w14:paraId="0000004D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Quality Assurance Agency (QAA). (2014). UK Quality code for higher education. Part A: Setting and maintaining academic standards. The frameworks for higher education qualifications of UK degree-awarding bodies. [Online]. Available at: </w:t>
      </w:r>
      <w:hyperlink r:id="rId12">
        <w:r>
          <w:rPr>
            <w:color w:val="1155CC"/>
            <w:sz w:val="24"/>
            <w:szCs w:val="24"/>
            <w:u w:val="single"/>
          </w:rPr>
          <w:t>https://www.qaa.ac.uk/quality-code/qualifications-and-credit-frameworks</w:t>
        </w:r>
      </w:hyperlink>
      <w:r>
        <w:rPr>
          <w:sz w:val="24"/>
          <w:szCs w:val="24"/>
        </w:rPr>
        <w:t xml:space="preserve"> [Accessed 7th September 2019]. </w:t>
      </w:r>
    </w:p>
    <w:p w14:paraId="0000004E" w14:textId="77777777" w:rsidR="009B71BF" w:rsidRDefault="009B71BF">
      <w:pPr>
        <w:rPr>
          <w:sz w:val="24"/>
          <w:szCs w:val="24"/>
        </w:rPr>
      </w:pPr>
    </w:p>
    <w:p w14:paraId="0000004F" w14:textId="77777777" w:rsidR="009B71BF" w:rsidRDefault="000E7968">
      <w:pPr>
        <w:rPr>
          <w:sz w:val="24"/>
          <w:szCs w:val="24"/>
        </w:rPr>
      </w:pPr>
      <w:r>
        <w:rPr>
          <w:sz w:val="24"/>
          <w:szCs w:val="24"/>
        </w:rPr>
        <w:t xml:space="preserve">SEEC. (2016). Credit level descriptors for higher education. [Online]. Available at: </w:t>
      </w:r>
      <w:hyperlink r:id="rId13">
        <w:r>
          <w:rPr>
            <w:color w:val="1155CC"/>
            <w:sz w:val="24"/>
            <w:szCs w:val="24"/>
            <w:u w:val="single"/>
          </w:rPr>
          <w:t>http://seec.org.uk/wp-content/uploads/2016/07/SEEC-descriptors-2016.pdf</w:t>
        </w:r>
      </w:hyperlink>
      <w:r>
        <w:rPr>
          <w:sz w:val="24"/>
          <w:szCs w:val="24"/>
        </w:rPr>
        <w:t xml:space="preserve"> [Accessed 7th September 2019]. </w:t>
      </w:r>
    </w:p>
    <w:p w14:paraId="00000050" w14:textId="77777777" w:rsidR="009B71BF" w:rsidRDefault="009B71BF">
      <w:pPr>
        <w:rPr>
          <w:sz w:val="24"/>
          <w:szCs w:val="24"/>
        </w:rPr>
      </w:pPr>
    </w:p>
    <w:p w14:paraId="00000051" w14:textId="77777777" w:rsidR="009B71BF" w:rsidRDefault="009B71BF">
      <w:pPr>
        <w:rPr>
          <w:sz w:val="24"/>
          <w:szCs w:val="24"/>
        </w:rPr>
      </w:pPr>
    </w:p>
    <w:sectPr w:rsidR="009B71B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CD5E" w14:textId="77777777" w:rsidR="002233C5" w:rsidRDefault="000E7968">
      <w:pPr>
        <w:spacing w:after="0" w:line="240" w:lineRule="auto"/>
      </w:pPr>
      <w:r>
        <w:separator/>
      </w:r>
    </w:p>
  </w:endnote>
  <w:endnote w:type="continuationSeparator" w:id="0">
    <w:p w14:paraId="3EEE48E4" w14:textId="77777777" w:rsidR="002233C5" w:rsidRDefault="000E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77777777" w:rsidR="009B71BF" w:rsidRDefault="000E7968">
    <w:pPr>
      <w:rPr>
        <w:color w:val="999999"/>
      </w:rPr>
    </w:pPr>
    <w:r>
      <w:rPr>
        <w:b/>
        <w:color w:val="999999"/>
        <w:sz w:val="18"/>
        <w:szCs w:val="18"/>
      </w:rPr>
      <w:t>Last updated by UGTC (24.09.19)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4" w14:textId="77777777" w:rsidR="009B71BF" w:rsidRDefault="000E7968">
    <w:pPr>
      <w:rPr>
        <w:color w:val="999999"/>
      </w:rPr>
    </w:pPr>
    <w:r>
      <w:rPr>
        <w:b/>
        <w:color w:val="999999"/>
        <w:sz w:val="18"/>
        <w:szCs w:val="18"/>
      </w:rPr>
      <w:t xml:space="preserve">TH/SR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AB1E" w14:textId="77777777" w:rsidR="002233C5" w:rsidRDefault="000E7968">
      <w:pPr>
        <w:spacing w:after="0" w:line="240" w:lineRule="auto"/>
      </w:pPr>
      <w:r>
        <w:separator/>
      </w:r>
    </w:p>
  </w:footnote>
  <w:footnote w:type="continuationSeparator" w:id="0">
    <w:p w14:paraId="07FCD6A0" w14:textId="77777777" w:rsidR="002233C5" w:rsidRDefault="000E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182F0DCE" w:rsidR="009B71BF" w:rsidRDefault="000E7968">
    <w:pPr>
      <w:jc w:val="right"/>
    </w:pPr>
    <w:r>
      <w:fldChar w:fldCharType="begin"/>
    </w:r>
    <w:r>
      <w:instrText>PAGE</w:instrText>
    </w:r>
    <w:r>
      <w:fldChar w:fldCharType="separate"/>
    </w:r>
    <w:r w:rsidR="00715F17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9B71BF" w:rsidRDefault="000E7968">
    <w:pPr>
      <w:jc w:val="right"/>
    </w:pPr>
    <w:r>
      <w:fldChar w:fldCharType="begin"/>
    </w:r>
    <w:r>
      <w:instrText>PAGE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B27"/>
    <w:multiLevelType w:val="multilevel"/>
    <w:tmpl w:val="78DE6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27CE9"/>
    <w:multiLevelType w:val="multilevel"/>
    <w:tmpl w:val="9EB06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7218BD"/>
    <w:multiLevelType w:val="multilevel"/>
    <w:tmpl w:val="99087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532BD2"/>
    <w:multiLevelType w:val="multilevel"/>
    <w:tmpl w:val="7FE86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143855"/>
    <w:multiLevelType w:val="multilevel"/>
    <w:tmpl w:val="A2CAC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BF"/>
    <w:rsid w:val="000E7968"/>
    <w:rsid w:val="002233C5"/>
    <w:rsid w:val="00325151"/>
    <w:rsid w:val="00715F17"/>
    <w:rsid w:val="009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F43F"/>
  <w15:docId w15:val="{7C387113-7EBD-41BD-9EC9-1873EFEF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c.org.uk/standards/code/" TargetMode="External"/><Relationship Id="rId13" Type="http://schemas.openxmlformats.org/officeDocument/2006/relationships/hyperlink" Target="http://seec.org.uk/wp-content/uploads/2016/07/SEEC-descriptors-2016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aa.ac.uk/quality-code/qualifications-and-credit-framework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ndfonline.com/doi/pdf/10.1207/s15430421tip4104_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rk.ac.uk/students/studying/develop-your-skills/study-skills/study/integrity/referencing-styles/harvar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rk.ac.uk/healthsciences/student-intranet/teaching/submissio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oNeU71TRYSuWdevmPCFOSZWzbw==">AMUW2mUjL0MReo5G4cY0O9xLkErixI3abavKkj3Wsce7jv0dessZSYzyiwLQyG51S75id+nvjG4n5QULvKgh3SHi2j/vp03tFy7SG8+vJvSuG86L5Oo3G1UnFggZOWsxMJioSL5Xre/O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Redfern, S.</dc:creator>
  <cp:lastModifiedBy>Gillies, V.</cp:lastModifiedBy>
  <cp:revision>2</cp:revision>
  <dcterms:created xsi:type="dcterms:W3CDTF">2023-12-14T08:53:00Z</dcterms:created>
  <dcterms:modified xsi:type="dcterms:W3CDTF">2023-12-14T08:53:00Z</dcterms:modified>
</cp:coreProperties>
</file>