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Title: Child Wellbeing in developing countries – limitations of the United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Nations-Child Rights Convention (UN-CRC) Framework while developing children’s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social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policies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 xml:space="preserve">Author: </w:t>
      </w:r>
      <w:proofErr w:type="spellStart"/>
      <w:r w:rsidRPr="00966313">
        <w:rPr>
          <w:rFonts w:eastAsia="Times New Roman" w:cs="Courier New"/>
          <w:color w:val="333333"/>
          <w:szCs w:val="18"/>
        </w:rPr>
        <w:t>Suman</w:t>
      </w:r>
      <w:proofErr w:type="spellEnd"/>
      <w:r w:rsidRPr="00966313">
        <w:rPr>
          <w:rFonts w:eastAsia="Times New Roman" w:cs="Courier New"/>
          <w:color w:val="333333"/>
          <w:szCs w:val="18"/>
        </w:rPr>
        <w:t xml:space="preserve"> </w:t>
      </w:r>
      <w:proofErr w:type="spellStart"/>
      <w:r w:rsidRPr="00966313">
        <w:rPr>
          <w:rFonts w:eastAsia="Times New Roman" w:cs="Courier New"/>
          <w:color w:val="333333"/>
          <w:szCs w:val="18"/>
        </w:rPr>
        <w:t>Khadka</w:t>
      </w:r>
      <w:proofErr w:type="spellEnd"/>
      <w:r w:rsidRPr="00966313">
        <w:rPr>
          <w:rFonts w:eastAsia="Times New Roman" w:cs="Courier New"/>
          <w:color w:val="333333"/>
          <w:szCs w:val="18"/>
        </w:rPr>
        <w:t>, Nepal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sumankhadka@hotmail.com, skha64@student.monash.edu phone: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0061-431058810/403497316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 xml:space="preserve">Organisation: </w:t>
      </w:r>
      <w:proofErr w:type="spellStart"/>
      <w:r w:rsidRPr="00966313">
        <w:rPr>
          <w:rFonts w:eastAsia="Times New Roman" w:cs="Courier New"/>
          <w:color w:val="333333"/>
          <w:szCs w:val="18"/>
        </w:rPr>
        <w:t>Monash</w:t>
      </w:r>
      <w:proofErr w:type="spellEnd"/>
      <w:r w:rsidRPr="00966313">
        <w:rPr>
          <w:rFonts w:eastAsia="Times New Roman" w:cs="Courier New"/>
          <w:color w:val="333333"/>
          <w:szCs w:val="18"/>
        </w:rPr>
        <w:t xml:space="preserve"> University, Melbourne, Australia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Abstract: (300 words)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While the Child Rights Convention (CRC) has become the key framework for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interpreting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child welfare/wellbeing, its inherent complexities and the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persistent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deprivations experienced by children in developing countries calls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for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alternate political economy approaches such as welfare regime theory while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formulating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children’s social policies.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Child rights have limitations to understanding and addressing social problems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children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face globally (</w:t>
      </w:r>
      <w:proofErr w:type="spellStart"/>
      <w:r w:rsidRPr="00966313">
        <w:rPr>
          <w:rFonts w:eastAsia="Times New Roman" w:cs="Courier New"/>
          <w:color w:val="333333"/>
          <w:szCs w:val="18"/>
        </w:rPr>
        <w:t>Pupavac</w:t>
      </w:r>
      <w:proofErr w:type="spellEnd"/>
      <w:r w:rsidRPr="00966313">
        <w:rPr>
          <w:rFonts w:eastAsia="Times New Roman" w:cs="Courier New"/>
          <w:color w:val="333333"/>
          <w:szCs w:val="18"/>
        </w:rPr>
        <w:t>, 2001). A key debate concerns prioritisation of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rights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when the resources are limited or when rights conflict. Due to the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principle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of progressive realisation of socio-economic rights based on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available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resources (CRC, Article 4) and the general trend of negative rights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getting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priority over positive rights (Steiner et al, 2008), the CRC obstructs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accessing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basic needs as these form the core socio-economic rights. Because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social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policy is about re/distribution of resources, such a conflict hinders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creation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of socio-economic conditions required for wellbeing.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Hence this paper argues that children’s social policies should be developed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using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a political-economy approach such as a welfare regime theory (developed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by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Gough and Wood, 2004). It helps to depart from the dominant discourse on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child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rights by prioritizing social rights. It expands established framework of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welfare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state theory to suit socio-economic conditions of developing countries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through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the notion of </w:t>
      </w:r>
      <w:proofErr w:type="spellStart"/>
      <w:r w:rsidRPr="00966313">
        <w:rPr>
          <w:rFonts w:eastAsia="Times New Roman" w:cs="Courier New"/>
          <w:color w:val="333333"/>
          <w:szCs w:val="18"/>
        </w:rPr>
        <w:t>declientelisation</w:t>
      </w:r>
      <w:proofErr w:type="spellEnd"/>
      <w:r w:rsidRPr="00966313">
        <w:rPr>
          <w:rFonts w:eastAsia="Times New Roman" w:cs="Courier New"/>
          <w:color w:val="333333"/>
          <w:szCs w:val="18"/>
        </w:rPr>
        <w:t xml:space="preserve"> in addition to that of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spellStart"/>
      <w:proofErr w:type="gramStart"/>
      <w:r w:rsidRPr="00966313">
        <w:rPr>
          <w:rFonts w:eastAsia="Times New Roman" w:cs="Courier New"/>
          <w:color w:val="333333"/>
          <w:szCs w:val="18"/>
        </w:rPr>
        <w:t>decommodification</w:t>
      </w:r>
      <w:proofErr w:type="spellEnd"/>
      <w:proofErr w:type="gramEnd"/>
      <w:r w:rsidRPr="00966313">
        <w:rPr>
          <w:rFonts w:eastAsia="Times New Roman" w:cs="Courier New"/>
          <w:color w:val="333333"/>
          <w:szCs w:val="18"/>
        </w:rPr>
        <w:t>. Specifically current/protection needs are prioritized with a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call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to transform informal to formal regimes. While the notion of ‘welfare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state</w:t>
      </w:r>
      <w:proofErr w:type="gramEnd"/>
      <w:r w:rsidRPr="00966313">
        <w:rPr>
          <w:rFonts w:eastAsia="Times New Roman" w:cs="Courier New"/>
          <w:color w:val="333333"/>
          <w:szCs w:val="18"/>
        </w:rPr>
        <w:t>’ is not new and has been successful in combating absolute child poverty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in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the west it is rarely applied in the south. Global children’s rights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advocacy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seeks to globalize post-industrial childhood norms without globalizing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the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material conditions that fostered those norms (</w:t>
      </w:r>
      <w:proofErr w:type="spellStart"/>
      <w:r w:rsidRPr="00966313">
        <w:rPr>
          <w:rFonts w:eastAsia="Times New Roman" w:cs="Courier New"/>
          <w:color w:val="333333"/>
          <w:szCs w:val="18"/>
        </w:rPr>
        <w:t>Pupavac</w:t>
      </w:r>
      <w:proofErr w:type="spellEnd"/>
      <w:r w:rsidRPr="00966313">
        <w:rPr>
          <w:rFonts w:eastAsia="Times New Roman" w:cs="Courier New"/>
          <w:color w:val="333333"/>
          <w:szCs w:val="18"/>
        </w:rPr>
        <w:t>, 2009).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r w:rsidRPr="00966313">
        <w:rPr>
          <w:rFonts w:eastAsia="Times New Roman" w:cs="Courier New"/>
          <w:color w:val="333333"/>
          <w:szCs w:val="18"/>
        </w:rPr>
        <w:t>This paper concludes that children’s social policies have to go beyond the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limited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normative framework of the UN-CRC and include more confrontational</w:t>
      </w:r>
    </w:p>
    <w:p w:rsidR="00966313" w:rsidRPr="00966313" w:rsidRDefault="00966313" w:rsidP="00966313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Cs w:val="18"/>
        </w:rPr>
      </w:pPr>
      <w:proofErr w:type="gramStart"/>
      <w:r w:rsidRPr="00966313">
        <w:rPr>
          <w:rFonts w:eastAsia="Times New Roman" w:cs="Courier New"/>
          <w:color w:val="333333"/>
          <w:szCs w:val="18"/>
        </w:rPr>
        <w:t>resource</w:t>
      </w:r>
      <w:proofErr w:type="gramEnd"/>
      <w:r w:rsidRPr="00966313">
        <w:rPr>
          <w:rFonts w:eastAsia="Times New Roman" w:cs="Courier New"/>
          <w:color w:val="333333"/>
          <w:szCs w:val="18"/>
        </w:rPr>
        <w:t xml:space="preserve"> re/distribution approaches to promote their wellbeing.</w:t>
      </w:r>
    </w:p>
    <w:p w:rsidR="00DA2587" w:rsidRPr="00966313" w:rsidRDefault="00DA2587" w:rsidP="00966313">
      <w:pPr>
        <w:spacing w:after="0" w:line="240" w:lineRule="auto"/>
        <w:rPr>
          <w:sz w:val="36"/>
        </w:rPr>
      </w:pPr>
    </w:p>
    <w:sectPr w:rsidR="00DA2587" w:rsidRPr="00966313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313"/>
    <w:rsid w:val="0031491C"/>
    <w:rsid w:val="003E246A"/>
    <w:rsid w:val="0062601F"/>
    <w:rsid w:val="006605F0"/>
    <w:rsid w:val="008B3E9A"/>
    <w:rsid w:val="008D0507"/>
    <w:rsid w:val="00966313"/>
    <w:rsid w:val="009D15E5"/>
    <w:rsid w:val="00DA2587"/>
    <w:rsid w:val="00DF68E2"/>
    <w:rsid w:val="00F9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313"/>
    <w:pPr>
      <w:pBdr>
        <w:top w:val="single" w:sz="6" w:space="12" w:color="DFEDF3"/>
        <w:left w:val="single" w:sz="6" w:space="12" w:color="DFEDF3"/>
        <w:bottom w:val="single" w:sz="6" w:space="12" w:color="DFEDF3"/>
        <w:right w:val="single" w:sz="6" w:space="12" w:color="DFED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313"/>
    <w:rPr>
      <w:rFonts w:ascii="Courier New" w:eastAsia="Times New Roman" w:hAnsi="Courier New" w:cs="Courier New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3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6" w:space="15" w:color="033D1B"/>
                <w:bottom w:val="single" w:sz="6" w:space="0" w:color="033D1B"/>
                <w:right w:val="single" w:sz="6" w:space="15" w:color="033D1B"/>
              </w:divBdr>
              <w:divsChild>
                <w:div w:id="1303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The University of York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2</cp:revision>
  <dcterms:created xsi:type="dcterms:W3CDTF">2011-02-24T13:32:00Z</dcterms:created>
  <dcterms:modified xsi:type="dcterms:W3CDTF">2011-02-24T13:32:00Z</dcterms:modified>
</cp:coreProperties>
</file>