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3B0" w:rsidRPr="00A543B0" w:rsidRDefault="00A543B0" w:rsidP="0001621D">
      <w:pPr>
        <w:pStyle w:val="Title"/>
        <w:rPr>
          <w:rFonts w:eastAsia="Times New Roman"/>
          <w:lang w:eastAsia="en-GB"/>
        </w:rPr>
      </w:pPr>
      <w:bookmarkStart w:id="0" w:name="_GoBack"/>
      <w:bookmarkEnd w:id="0"/>
      <w:r w:rsidRPr="00A543B0">
        <w:rPr>
          <w:rFonts w:eastAsia="Times New Roman"/>
          <w:lang w:eastAsia="en-GB"/>
        </w:rPr>
        <w:t>Methods for identifying and/or assessing mental vulnerability</w:t>
      </w:r>
    </w:p>
    <w:p w:rsidR="003629DE" w:rsidRDefault="003629DE" w:rsidP="00253AEB">
      <w:r w:rsidRPr="003629DE">
        <w:t xml:space="preserve">The aim of this systematic review </w:t>
      </w:r>
      <w:r>
        <w:t>was</w:t>
      </w:r>
      <w:r w:rsidRPr="003629DE">
        <w:t xml:space="preserve"> to identify the existing research evidence evaluating the effectiveness of ways that non-mental health professionals could use to identify and/or assess people they come into contact with for mental vulnerability.</w:t>
      </w:r>
    </w:p>
    <w:p w:rsidR="003629DE" w:rsidRDefault="003629DE" w:rsidP="00253AEB">
      <w:r>
        <w:t xml:space="preserve">At the point of starting this review, we identified that the </w:t>
      </w:r>
      <w:hyperlink r:id="rId7" w:history="1">
        <w:r w:rsidRPr="00494F5F">
          <w:rPr>
            <w:rStyle w:val="Hyperlink"/>
          </w:rPr>
          <w:t xml:space="preserve">National Institute for Health and Care Excellence </w:t>
        </w:r>
        <w:r w:rsidR="00494F5F" w:rsidRPr="00494F5F">
          <w:rPr>
            <w:rStyle w:val="Hyperlink"/>
          </w:rPr>
          <w:t>(NICE)</w:t>
        </w:r>
      </w:hyperlink>
      <w:r w:rsidR="00494F5F">
        <w:t xml:space="preserve"> </w:t>
      </w:r>
      <w:r>
        <w:t>were in the process of undertaking a review</w:t>
      </w:r>
      <w:r w:rsidR="008E4F2B">
        <w:t>,</w:t>
      </w:r>
      <w:r w:rsidR="00494F5F">
        <w:t xml:space="preserve"> titled:</w:t>
      </w:r>
      <w:r w:rsidR="008E4F2B">
        <w:t xml:space="preserve"> </w:t>
      </w:r>
      <w:r w:rsidR="00494F5F">
        <w:t>‘</w:t>
      </w:r>
      <w:r w:rsidR="008E4F2B">
        <w:t>Identification and management of mental health problems and integration of care for adults in contact with the criminal justice system</w:t>
      </w:r>
      <w:r w:rsidR="00494F5F">
        <w:t>’</w:t>
      </w:r>
      <w:r>
        <w:t>.</w:t>
      </w:r>
      <w:r w:rsidR="008E4F2B">
        <w:t xml:space="preserve"> The NICE review included the following question:</w:t>
      </w:r>
      <w:r>
        <w:t xml:space="preserve"> </w:t>
      </w:r>
    </w:p>
    <w:p w:rsidR="00DC64EC" w:rsidRPr="00253AEB" w:rsidRDefault="00E350ED" w:rsidP="004D0AB8">
      <w:pPr>
        <w:numPr>
          <w:ilvl w:val="0"/>
          <w:numId w:val="4"/>
        </w:numPr>
      </w:pPr>
      <w:r w:rsidRPr="00253AEB">
        <w:rPr>
          <w:i/>
          <w:iCs/>
        </w:rPr>
        <w:t>What are the most appropriate tools for the recognition of mental health problems, or what modifications are needed to recognition tools recommended in exi</w:t>
      </w:r>
      <w:r w:rsidR="003629DE">
        <w:rPr>
          <w:i/>
          <w:iCs/>
        </w:rPr>
        <w:t>sting NICE guidance, for adults</w:t>
      </w:r>
      <w:r w:rsidRPr="00253AEB">
        <w:rPr>
          <w:i/>
          <w:iCs/>
        </w:rPr>
        <w:t xml:space="preserve"> in contact with the police?</w:t>
      </w:r>
    </w:p>
    <w:p w:rsidR="003629DE" w:rsidRDefault="00401C9A" w:rsidP="00253AEB">
      <w:r>
        <w:t xml:space="preserve">As the </w:t>
      </w:r>
      <w:r w:rsidR="00801A2A">
        <w:t xml:space="preserve">NICE </w:t>
      </w:r>
      <w:r w:rsidR="0046401B">
        <w:t xml:space="preserve">review </w:t>
      </w:r>
      <w:r>
        <w:t>target population included adults in contact with the police</w:t>
      </w:r>
      <w:r w:rsidR="0046401B">
        <w:t xml:space="preserve"> and</w:t>
      </w:r>
      <w:r>
        <w:t xml:space="preserve"> in police custody</w:t>
      </w:r>
      <w:r w:rsidR="0046401B">
        <w:t>,</w:t>
      </w:r>
      <w:r>
        <w:t xml:space="preserve"> we </w:t>
      </w:r>
      <w:r w:rsidR="003629DE">
        <w:t>deci</w:t>
      </w:r>
      <w:r>
        <w:t xml:space="preserve">ded </w:t>
      </w:r>
      <w:r w:rsidR="003629DE">
        <w:t>to pause our review and wait for NICE to complete their</w:t>
      </w:r>
      <w:r>
        <w:t>s in order to avoid duplication of effort</w:t>
      </w:r>
      <w:r w:rsidR="003629DE">
        <w:t xml:space="preserve">. </w:t>
      </w:r>
    </w:p>
    <w:p w:rsidR="007A47C6" w:rsidRPr="007A47C6" w:rsidRDefault="007A47C6" w:rsidP="0001621D">
      <w:pPr>
        <w:pStyle w:val="Heading1"/>
      </w:pPr>
      <w:r w:rsidRPr="007A47C6">
        <w:t>NICE GUIDELINE 66</w:t>
      </w:r>
    </w:p>
    <w:p w:rsidR="0019695C" w:rsidRPr="00494F5F" w:rsidRDefault="00494F5F" w:rsidP="00253AEB">
      <w:r>
        <w:t>NICE Guideline 66, ‘</w:t>
      </w:r>
      <w:r w:rsidR="003B141D">
        <w:t>Mental health of adults in contact with the criminal justice system</w:t>
      </w:r>
      <w:r>
        <w:t>: i</w:t>
      </w:r>
      <w:r w:rsidR="003B141D">
        <w:t>dentification and management of mental health problems and integration of care for adults in contact with the criminal justice system</w:t>
      </w:r>
      <w:r>
        <w:t>’</w:t>
      </w:r>
      <w:r w:rsidR="003B141D">
        <w:t xml:space="preserve"> has </w:t>
      </w:r>
      <w:r w:rsidR="005D36F9">
        <w:t>now been published and</w:t>
      </w:r>
      <w:r w:rsidR="003629DE">
        <w:t xml:space="preserve"> can be found here: </w:t>
      </w:r>
      <w:hyperlink r:id="rId8" w:history="1">
        <w:r w:rsidR="00A543B0" w:rsidRPr="003C3C54">
          <w:rPr>
            <w:rStyle w:val="Hyperlink"/>
          </w:rPr>
          <w:t>https://www.nice.org.uk/guidance/ng66/evidence/full-guideline-pdf-4419120205</w:t>
        </w:r>
      </w:hyperlink>
      <w:r>
        <w:rPr>
          <w:rStyle w:val="Hyperlink"/>
        </w:rPr>
        <w:t>.</w:t>
      </w:r>
      <w:r w:rsidR="005D36F9">
        <w:t xml:space="preserve"> </w:t>
      </w:r>
      <w:r w:rsidR="0061319D">
        <w:t xml:space="preserve">The review question relevant to </w:t>
      </w:r>
      <w:r w:rsidR="0019695C">
        <w:t>our planned review can be found</w:t>
      </w:r>
      <w:r w:rsidR="0061319D">
        <w:t xml:space="preserve"> </w:t>
      </w:r>
      <w:r w:rsidR="0061319D" w:rsidRPr="00494F5F">
        <w:t>in</w:t>
      </w:r>
      <w:r w:rsidRPr="00494F5F">
        <w:t xml:space="preserve"> Sections 5.2 and 5.3 on Pages 61-78 of the full report, which we summarise below.</w:t>
      </w:r>
    </w:p>
    <w:p w:rsidR="00CF43EE" w:rsidRPr="00CF43EE" w:rsidRDefault="00CF43EE" w:rsidP="0001621D">
      <w:pPr>
        <w:pStyle w:val="Heading2"/>
      </w:pPr>
      <w:r w:rsidRPr="00CF43EE">
        <w:t>Tools for the recognition of mental health problems</w:t>
      </w:r>
    </w:p>
    <w:p w:rsidR="00253AEB" w:rsidRDefault="00167FEA" w:rsidP="00253AEB">
      <w:r>
        <w:t>We summarise here in brief t</w:t>
      </w:r>
      <w:r w:rsidR="0019695C">
        <w:t>he</w:t>
      </w:r>
      <w:r>
        <w:t xml:space="preserve"> findings of the review question to</w:t>
      </w:r>
      <w:r w:rsidR="0019695C">
        <w:t xml:space="preserve"> identify the most appropriate tools for the recognition of mental health problems for adults in contact with the police, in police custody and for the court process</w:t>
      </w:r>
      <w:r>
        <w:t xml:space="preserve">. </w:t>
      </w:r>
    </w:p>
    <w:p w:rsidR="00B8069E" w:rsidRDefault="00B8069E" w:rsidP="00253AEB">
      <w:r>
        <w:t>In the introduction to section 5, the guidelines committee state:</w:t>
      </w:r>
    </w:p>
    <w:p w:rsidR="00E90B5C" w:rsidRDefault="00494F5F" w:rsidP="00253AEB">
      <w:r>
        <w:lastRenderedPageBreak/>
        <w:t>‘</w:t>
      </w:r>
      <w:r w:rsidR="0019695C">
        <w:t>Outside of the prison services there are no well-established and routinely used case identification or assessment tools and procedures. The distinctive nature and patterns of presentation in this guideline’s target groups makes it desirable that specific assessment tools and processes be identified that could offer advantages over generic approaches</w:t>
      </w:r>
      <w:r>
        <w:t>’</w:t>
      </w:r>
      <w:r w:rsidR="0019695C">
        <w:t>.</w:t>
      </w:r>
    </w:p>
    <w:p w:rsidR="00773429" w:rsidRDefault="007A47C6" w:rsidP="00253AEB">
      <w:r>
        <w:t>The NICE review team found limited evidence, all assessed as poor quality, for a range of tools to assess for depression (n=3 studies), bipolar disorder (3 studies), affective disorder (4 studies), learning disabilities (1 study), schizophrenia (</w:t>
      </w:r>
      <w:r w:rsidR="00577E37">
        <w:t>1 study)</w:t>
      </w:r>
      <w:r>
        <w:t xml:space="preserve">, psychosis </w:t>
      </w:r>
      <w:r w:rsidR="00577E37">
        <w:t xml:space="preserve">(1 study) </w:t>
      </w:r>
      <w:r>
        <w:t>and Axis-I or Axis-II disorder</w:t>
      </w:r>
      <w:r w:rsidR="00577E37">
        <w:t xml:space="preserve"> (8 studies)</w:t>
      </w:r>
      <w:r>
        <w:t>.</w:t>
      </w:r>
      <w:r w:rsidR="00577E37">
        <w:t xml:space="preserve"> The tools identified </w:t>
      </w:r>
      <w:r w:rsidR="00947A92">
        <w:t>that met the review’s conservative threshold of ≥</w:t>
      </w:r>
      <w:r w:rsidR="00CF0D9C">
        <w:t>0.70 for both</w:t>
      </w:r>
      <w:r w:rsidR="00947A92">
        <w:t xml:space="preserve"> sensitivity and specificity </w:t>
      </w:r>
      <w:r w:rsidR="00577E37">
        <w:t>were</w:t>
      </w:r>
      <w:r w:rsidR="00CF0D9C">
        <w:t>:</w:t>
      </w:r>
    </w:p>
    <w:p w:rsidR="00CF0D9C" w:rsidRPr="00CF0D9C" w:rsidRDefault="00CF0D9C" w:rsidP="00CF0D9C">
      <w:pPr>
        <w:pStyle w:val="ListParagraph"/>
        <w:numPr>
          <w:ilvl w:val="0"/>
          <w:numId w:val="7"/>
        </w:numPr>
      </w:pPr>
      <w:r w:rsidRPr="00CF0D9C">
        <w:t>Referral Decision Scale (RDS)</w:t>
      </w:r>
      <w:r w:rsidR="00A81E56">
        <w:t>,</w:t>
      </w:r>
      <w:r w:rsidRPr="00CF0D9C">
        <w:t xml:space="preserve"> RDS-Bipolar and RDS-Schizophrenia, </w:t>
      </w:r>
    </w:p>
    <w:p w:rsidR="00CF0D9C" w:rsidRPr="00CF0D9C" w:rsidRDefault="00CF0D9C" w:rsidP="00CF0D9C">
      <w:pPr>
        <w:pStyle w:val="ListParagraph"/>
        <w:numPr>
          <w:ilvl w:val="0"/>
          <w:numId w:val="7"/>
        </w:numPr>
      </w:pPr>
      <w:r w:rsidRPr="00CF0D9C">
        <w:t>Correctional Mental Health Screens for Men (CMHS-M) and Women (CMHS-W), and</w:t>
      </w:r>
    </w:p>
    <w:p w:rsidR="00CF0D9C" w:rsidRPr="00CF0D9C" w:rsidRDefault="00CF0D9C" w:rsidP="00CF0D9C">
      <w:pPr>
        <w:pStyle w:val="ListParagraph"/>
        <w:numPr>
          <w:ilvl w:val="0"/>
          <w:numId w:val="7"/>
        </w:numPr>
      </w:pPr>
      <w:r w:rsidRPr="00CF0D9C">
        <w:t>HELP-PC.</w:t>
      </w:r>
    </w:p>
    <w:p w:rsidR="00577E37" w:rsidRDefault="00CF0D9C" w:rsidP="00253AEB">
      <w:r>
        <w:t>Tools with</w:t>
      </w:r>
      <w:r w:rsidR="00385E02">
        <w:t xml:space="preserve"> lower than 0.70 sensitivity or</w:t>
      </w:r>
      <w:r>
        <w:t xml:space="preserve"> specificity </w:t>
      </w:r>
      <w:r w:rsidR="00385E02">
        <w:t>and therefo</w:t>
      </w:r>
      <w:r w:rsidR="0011195B">
        <w:t xml:space="preserve">re excluded </w:t>
      </w:r>
      <w:r>
        <w:t xml:space="preserve">were: </w:t>
      </w:r>
      <w:r w:rsidR="00577E37">
        <w:t>Brief Jail Mental Heal Screen (BJMHS)</w:t>
      </w:r>
      <w:r w:rsidR="0011195B">
        <w:t xml:space="preserve"> </w:t>
      </w:r>
      <w:r w:rsidR="00577E37">
        <w:t>or revised BJMHS (BJMHS-R), Co-occurring Disorders Screening Instrument for Mental Disorders (CODSI-MD), Co-occurring Disorders Screening Instrument for Severe Mental Disorders (CODSI-SMD), and the Custody Risk Assessment Form.</w:t>
      </w:r>
      <w:r w:rsidR="00385E02">
        <w:t xml:space="preserve"> In addition</w:t>
      </w:r>
      <w:r w:rsidR="00C02014">
        <w:t>,</w:t>
      </w:r>
      <w:r w:rsidR="00385E02">
        <w:t xml:space="preserve"> the single study of the Prison reception health screen, widely adopted in UK prisons, fell below the threshold for inclusion.</w:t>
      </w:r>
    </w:p>
    <w:p w:rsidR="00773429" w:rsidRDefault="00A81E56" w:rsidP="00253AEB">
      <w:r>
        <w:t>An additional related question in the NICE review looked for evidence on the most appropriate tools to support or assist in the assessment of mental health problems. No studies meeting the inclusion criteria were found.</w:t>
      </w:r>
    </w:p>
    <w:p w:rsidR="00A81E56" w:rsidRDefault="00A81E56" w:rsidP="00253AEB">
      <w:r>
        <w:t>There was no economic evidence for either of the questions reported on here.</w:t>
      </w:r>
    </w:p>
    <w:p w:rsidR="00C02014" w:rsidRPr="0001621D" w:rsidRDefault="00A81E56" w:rsidP="00253AEB">
      <w:r>
        <w:t>The NICE guidelines committee restricted their recommendations to the need for future research.</w:t>
      </w:r>
    </w:p>
    <w:p w:rsidR="00773429" w:rsidRDefault="00CF43EE" w:rsidP="0001621D">
      <w:pPr>
        <w:pStyle w:val="Heading2"/>
      </w:pPr>
      <w:r>
        <w:t>Overview of NICE guideline 66</w:t>
      </w:r>
    </w:p>
    <w:p w:rsidR="00DA38ED" w:rsidRPr="00CF43EE" w:rsidRDefault="00E90B5C" w:rsidP="00DA38ED">
      <w:pPr>
        <w:spacing w:after="120"/>
        <w:rPr>
          <w:bCs/>
        </w:rPr>
      </w:pPr>
      <w:r w:rsidRPr="00CF43EE">
        <w:rPr>
          <w:bCs/>
        </w:rPr>
        <w:t>Below, we give an overview of NICE guid</w:t>
      </w:r>
      <w:r w:rsidR="00CF43EE" w:rsidRPr="00CF43EE">
        <w:rPr>
          <w:bCs/>
        </w:rPr>
        <w:t>eline 66</w:t>
      </w:r>
      <w:r w:rsidR="00DA38ED" w:rsidRPr="00CF43EE">
        <w:rPr>
          <w:bCs/>
        </w:rPr>
        <w:t xml:space="preserve"> as other sections are likely to be of relevance and interest to Connect co-production partners</w:t>
      </w:r>
      <w:r w:rsidR="00CF43EE">
        <w:rPr>
          <w:bCs/>
        </w:rPr>
        <w:t>.</w:t>
      </w:r>
    </w:p>
    <w:p w:rsidR="00E90B5C" w:rsidRPr="00E90B5C" w:rsidRDefault="00E90B5C" w:rsidP="0001621D">
      <w:pPr>
        <w:pStyle w:val="Heading3"/>
      </w:pPr>
      <w:r w:rsidRPr="00E90B5C">
        <w:t>Why did NICE produce the ‘mental health of adults in contact with the criminal justice system’</w:t>
      </w:r>
      <w:r>
        <w:t xml:space="preserve"> </w:t>
      </w:r>
      <w:r w:rsidRPr="00E90B5C">
        <w:t>guideline?</w:t>
      </w:r>
    </w:p>
    <w:p w:rsidR="00E90B5C" w:rsidRPr="0001621D" w:rsidRDefault="00E90B5C" w:rsidP="005149CD">
      <w:pPr>
        <w:pStyle w:val="ListParagraph"/>
        <w:numPr>
          <w:ilvl w:val="0"/>
          <w:numId w:val="13"/>
        </w:numPr>
      </w:pPr>
      <w:r w:rsidRPr="0001621D">
        <w:lastRenderedPageBreak/>
        <w:t>Between 20-45% of police time is spent engaging with people experiencing mental health</w:t>
      </w:r>
      <w:r w:rsidR="005149CD">
        <w:t xml:space="preserve"> </w:t>
      </w:r>
      <w:r w:rsidRPr="0001621D">
        <w:t>problems</w:t>
      </w:r>
    </w:p>
    <w:p w:rsidR="00E90B5C" w:rsidRPr="0001621D" w:rsidRDefault="00E90B5C" w:rsidP="005149CD">
      <w:pPr>
        <w:pStyle w:val="ListParagraph"/>
        <w:numPr>
          <w:ilvl w:val="0"/>
          <w:numId w:val="13"/>
        </w:numPr>
      </w:pPr>
      <w:r w:rsidRPr="0001621D">
        <w:t>The guideline covers assessing, diagnosing and managing mental health problems in adults</w:t>
      </w:r>
      <w:r w:rsidR="005149CD">
        <w:t xml:space="preserve"> </w:t>
      </w:r>
      <w:r w:rsidRPr="0001621D">
        <w:t>who are in contact with the criminal justice system.</w:t>
      </w:r>
    </w:p>
    <w:p w:rsidR="00E90B5C" w:rsidRPr="0001621D" w:rsidRDefault="00E90B5C" w:rsidP="005149CD">
      <w:pPr>
        <w:pStyle w:val="ListParagraph"/>
        <w:numPr>
          <w:ilvl w:val="0"/>
          <w:numId w:val="13"/>
        </w:numPr>
      </w:pPr>
      <w:r w:rsidRPr="0001621D">
        <w:t>It aims to improve mental health and wellbeing in this population by establishing principles</w:t>
      </w:r>
      <w:r w:rsidR="005149CD">
        <w:t xml:space="preserve"> </w:t>
      </w:r>
      <w:r w:rsidRPr="0001621D">
        <w:t>for assessment and management, and promoting more coordinated care planning and</w:t>
      </w:r>
      <w:r w:rsidR="005149CD">
        <w:t xml:space="preserve"> </w:t>
      </w:r>
      <w:r w:rsidRPr="0001621D">
        <w:t>service organisation across the criminal justice system.</w:t>
      </w:r>
    </w:p>
    <w:p w:rsidR="00E90B5C" w:rsidRDefault="00E90B5C" w:rsidP="00E90B5C">
      <w:pPr>
        <w:spacing w:line="240" w:lineRule="auto"/>
        <w:rPr>
          <w:b/>
          <w:bCs/>
        </w:rPr>
      </w:pPr>
    </w:p>
    <w:p w:rsidR="00E90B5C" w:rsidRPr="00E90B5C" w:rsidRDefault="00E90B5C" w:rsidP="0001621D">
      <w:pPr>
        <w:pStyle w:val="Heading3"/>
      </w:pPr>
      <w:r w:rsidRPr="00E90B5C">
        <w:t>Who is the guideline for?</w:t>
      </w:r>
    </w:p>
    <w:p w:rsidR="00E90B5C" w:rsidRPr="0001621D" w:rsidRDefault="00E90B5C" w:rsidP="0001621D">
      <w:pPr>
        <w:pStyle w:val="ListParagraph"/>
        <w:numPr>
          <w:ilvl w:val="0"/>
          <w:numId w:val="12"/>
        </w:numPr>
      </w:pPr>
      <w:r w:rsidRPr="0001621D">
        <w:t>Those commissioning and providing health and justice services</w:t>
      </w:r>
    </w:p>
    <w:p w:rsidR="00E90B5C" w:rsidRPr="0001621D" w:rsidRDefault="00E90B5C" w:rsidP="00A74199">
      <w:pPr>
        <w:pStyle w:val="ListParagraph"/>
        <w:numPr>
          <w:ilvl w:val="0"/>
          <w:numId w:val="12"/>
        </w:numPr>
      </w:pPr>
      <w:r w:rsidRPr="0001621D">
        <w:t>Health and social care professionals working with adults in contact with the criminal justice</w:t>
      </w:r>
      <w:r w:rsidR="00A74199">
        <w:t xml:space="preserve"> </w:t>
      </w:r>
      <w:r w:rsidRPr="0001621D">
        <w:t>system in community, primary care, secondary care and secure settings</w:t>
      </w:r>
    </w:p>
    <w:p w:rsidR="00E90B5C" w:rsidRPr="0001621D" w:rsidRDefault="00E90B5C" w:rsidP="00A74199">
      <w:pPr>
        <w:pStyle w:val="ListParagraph"/>
        <w:numPr>
          <w:ilvl w:val="0"/>
          <w:numId w:val="12"/>
        </w:numPr>
      </w:pPr>
      <w:r w:rsidRPr="0001621D">
        <w:t>Adults in contact with the criminal justice system who have or may have mental health</w:t>
      </w:r>
      <w:r w:rsidR="00A74199">
        <w:t xml:space="preserve"> </w:t>
      </w:r>
      <w:r w:rsidRPr="0001621D">
        <w:t>problems</w:t>
      </w:r>
    </w:p>
    <w:p w:rsidR="00E90B5C" w:rsidRPr="00E90B5C" w:rsidRDefault="00E90B5C" w:rsidP="0001621D">
      <w:pPr>
        <w:pStyle w:val="Heading3"/>
      </w:pPr>
      <w:r w:rsidRPr="00E90B5C">
        <w:t>The Guideline makes recommendations on:</w:t>
      </w:r>
    </w:p>
    <w:p w:rsidR="00E90B5C" w:rsidRPr="0001621D" w:rsidRDefault="00E90B5C" w:rsidP="0001621D">
      <w:pPr>
        <w:pStyle w:val="ListParagraph"/>
        <w:numPr>
          <w:ilvl w:val="0"/>
          <w:numId w:val="11"/>
        </w:numPr>
      </w:pPr>
      <w:r w:rsidRPr="0001621D">
        <w:t>Principles of assessment</w:t>
      </w:r>
    </w:p>
    <w:p w:rsidR="00E90B5C" w:rsidRPr="0001621D" w:rsidRDefault="00E90B5C" w:rsidP="0001621D">
      <w:pPr>
        <w:pStyle w:val="ListParagraph"/>
        <w:numPr>
          <w:ilvl w:val="0"/>
          <w:numId w:val="11"/>
        </w:numPr>
      </w:pPr>
      <w:r w:rsidRPr="0001621D">
        <w:t>Identification and assessment throughout the care pathway</w:t>
      </w:r>
    </w:p>
    <w:p w:rsidR="00E90B5C" w:rsidRPr="0001621D" w:rsidRDefault="00E90B5C" w:rsidP="0001621D">
      <w:pPr>
        <w:pStyle w:val="ListParagraph"/>
        <w:numPr>
          <w:ilvl w:val="0"/>
          <w:numId w:val="11"/>
        </w:numPr>
      </w:pPr>
      <w:r w:rsidRPr="0001621D">
        <w:t>Risk assessment and management</w:t>
      </w:r>
    </w:p>
    <w:p w:rsidR="00E90B5C" w:rsidRPr="0001621D" w:rsidRDefault="00E90B5C" w:rsidP="0001621D">
      <w:pPr>
        <w:pStyle w:val="ListParagraph"/>
        <w:numPr>
          <w:ilvl w:val="0"/>
          <w:numId w:val="11"/>
        </w:numPr>
      </w:pPr>
      <w:r w:rsidRPr="0001621D">
        <w:t>Care planning</w:t>
      </w:r>
    </w:p>
    <w:p w:rsidR="00E90B5C" w:rsidRPr="0001621D" w:rsidRDefault="00E90B5C" w:rsidP="0001621D">
      <w:pPr>
        <w:pStyle w:val="ListParagraph"/>
        <w:numPr>
          <w:ilvl w:val="0"/>
          <w:numId w:val="11"/>
        </w:numPr>
      </w:pPr>
      <w:r w:rsidRPr="0001621D">
        <w:t>Psychological interventions</w:t>
      </w:r>
    </w:p>
    <w:p w:rsidR="00E90B5C" w:rsidRPr="0001621D" w:rsidRDefault="00E90B5C" w:rsidP="0001621D">
      <w:pPr>
        <w:pStyle w:val="ListParagraph"/>
        <w:numPr>
          <w:ilvl w:val="0"/>
          <w:numId w:val="11"/>
        </w:numPr>
      </w:pPr>
      <w:r w:rsidRPr="0001621D">
        <w:t>Pharmacological interventions</w:t>
      </w:r>
    </w:p>
    <w:p w:rsidR="00E90B5C" w:rsidRPr="0001621D" w:rsidRDefault="00E90B5C" w:rsidP="0001621D">
      <w:pPr>
        <w:pStyle w:val="ListParagraph"/>
        <w:numPr>
          <w:ilvl w:val="0"/>
          <w:numId w:val="11"/>
        </w:numPr>
      </w:pPr>
      <w:r w:rsidRPr="0001621D">
        <w:t>Organisation of services</w:t>
      </w:r>
    </w:p>
    <w:p w:rsidR="00DA38ED" w:rsidRDefault="00E90B5C" w:rsidP="00DA38ED">
      <w:pPr>
        <w:pStyle w:val="ListParagraph"/>
        <w:numPr>
          <w:ilvl w:val="0"/>
          <w:numId w:val="11"/>
        </w:numPr>
      </w:pPr>
      <w:r w:rsidRPr="0001621D">
        <w:t>Staff training</w:t>
      </w:r>
    </w:p>
    <w:p w:rsidR="00253AEB" w:rsidRDefault="00DA38ED" w:rsidP="00253AEB">
      <w:pPr>
        <w:rPr>
          <w:b/>
          <w:bCs/>
        </w:rPr>
      </w:pPr>
      <w:r>
        <w:t xml:space="preserve">Mental health of adults in contact with the criminal justice system, Identification and management of mental health problems and integration of care for adults in contact with the criminal justice system NICE Guideline 66 March 2017 </w:t>
      </w:r>
      <w:hyperlink r:id="rId9" w:history="1">
        <w:r w:rsidRPr="00917073">
          <w:rPr>
            <w:rStyle w:val="Hyperlink"/>
            <w:b/>
            <w:bCs/>
          </w:rPr>
          <w:t>www.nice.org.uk/guidance/ng66/evidence/full-guideline- pdf-4419120205</w:t>
        </w:r>
      </w:hyperlink>
      <w:r>
        <w:rPr>
          <w:b/>
          <w:bCs/>
        </w:rPr>
        <w:t xml:space="preserve"> </w:t>
      </w:r>
    </w:p>
    <w:p w:rsidR="00BE37FB" w:rsidRDefault="005504C9" w:rsidP="00BE37FB">
      <w:pPr>
        <w:rPr>
          <w:b/>
          <w:bCs/>
        </w:rPr>
      </w:pPr>
      <w:r>
        <w:rPr>
          <w:b/>
          <w:bCs/>
        </w:rPr>
        <w:t xml:space="preserve">Summary </w:t>
      </w:r>
      <w:r w:rsidR="004B1E65">
        <w:rPr>
          <w:b/>
          <w:bCs/>
        </w:rPr>
        <w:t xml:space="preserve">prepared </w:t>
      </w:r>
      <w:r>
        <w:rPr>
          <w:b/>
          <w:bCs/>
        </w:rPr>
        <w:t>by Adwoa Parker and Alison Booth</w:t>
      </w:r>
      <w:r w:rsidR="00BE37FB">
        <w:rPr>
          <w:b/>
          <w:bCs/>
        </w:rPr>
        <w:t xml:space="preserve">. </w:t>
      </w:r>
    </w:p>
    <w:p w:rsidR="00BE37FB" w:rsidRPr="00BE37FB" w:rsidRDefault="00BE37FB" w:rsidP="00BE37FB">
      <w:pPr>
        <w:rPr>
          <w:b/>
          <w:bCs/>
        </w:rPr>
      </w:pPr>
      <w:r w:rsidRPr="00BE37FB">
        <w:rPr>
          <w:b/>
          <w:bCs/>
        </w:rPr>
        <w:t>Contact: Adwoa Parker (</w:t>
      </w:r>
      <w:hyperlink r:id="rId10" w:history="1">
        <w:r w:rsidRPr="00BE37FB">
          <w:rPr>
            <w:rStyle w:val="Hyperlink"/>
            <w:b/>
            <w:bCs/>
          </w:rPr>
          <w:t>adwoa.parker@york.ac.uk</w:t>
        </w:r>
      </w:hyperlink>
      <w:r w:rsidRPr="00BE37FB">
        <w:rPr>
          <w:b/>
          <w:bCs/>
        </w:rPr>
        <w:t>, 01904 321671)</w:t>
      </w:r>
    </w:p>
    <w:p w:rsidR="005504C9" w:rsidRDefault="005504C9" w:rsidP="00253AEB"/>
    <w:sectPr w:rsidR="005504C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0ED" w:rsidRDefault="00E350ED" w:rsidP="00E350ED">
      <w:pPr>
        <w:spacing w:after="0" w:line="240" w:lineRule="auto"/>
      </w:pPr>
      <w:r>
        <w:separator/>
      </w:r>
    </w:p>
  </w:endnote>
  <w:endnote w:type="continuationSeparator" w:id="0">
    <w:p w:rsidR="00E350ED" w:rsidRDefault="00E350ED" w:rsidP="00E3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0ED" w:rsidRDefault="00E350ED" w:rsidP="00E350ED">
    <w:pPr>
      <w:pStyle w:val="Footer"/>
    </w:pPr>
    <w:r>
      <w:t xml:space="preserve">Overview of NICE review for Connect website </w:t>
    </w:r>
    <w:r w:rsidR="00E57328">
      <w:t>21</w:t>
    </w:r>
    <w:r>
      <w:t>.02.2018</w:t>
    </w:r>
    <w:r>
      <w:tab/>
    </w:r>
    <w:sdt>
      <w:sdtPr>
        <w:id w:val="1973864415"/>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529F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29F3">
              <w:rPr>
                <w:b/>
                <w:bCs/>
                <w:noProof/>
              </w:rPr>
              <w:t>1</w:t>
            </w:r>
            <w:r>
              <w:rPr>
                <w:b/>
                <w:bCs/>
                <w:sz w:val="24"/>
                <w:szCs w:val="24"/>
              </w:rPr>
              <w:fldChar w:fldCharType="end"/>
            </w:r>
          </w:sdtContent>
        </w:sdt>
      </w:sdtContent>
    </w:sdt>
  </w:p>
  <w:p w:rsidR="00E350ED" w:rsidRPr="00E350ED" w:rsidRDefault="00E350ED" w:rsidP="00E35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0ED" w:rsidRDefault="00E350ED" w:rsidP="00E350ED">
      <w:pPr>
        <w:spacing w:after="0" w:line="240" w:lineRule="auto"/>
      </w:pPr>
      <w:r>
        <w:separator/>
      </w:r>
    </w:p>
  </w:footnote>
  <w:footnote w:type="continuationSeparator" w:id="0">
    <w:p w:rsidR="00E350ED" w:rsidRDefault="00E350ED" w:rsidP="00E35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11F16"/>
    <w:multiLevelType w:val="hybridMultilevel"/>
    <w:tmpl w:val="B0F4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F5980"/>
    <w:multiLevelType w:val="hybridMultilevel"/>
    <w:tmpl w:val="9A38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92C90"/>
    <w:multiLevelType w:val="hybridMultilevel"/>
    <w:tmpl w:val="89CE3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D7FFA"/>
    <w:multiLevelType w:val="hybridMultilevel"/>
    <w:tmpl w:val="DEEA4714"/>
    <w:lvl w:ilvl="0" w:tplc="55A28E82">
      <w:start w:val="1"/>
      <w:numFmt w:val="bullet"/>
      <w:lvlText w:val="•"/>
      <w:lvlJc w:val="left"/>
      <w:pPr>
        <w:tabs>
          <w:tab w:val="num" w:pos="720"/>
        </w:tabs>
        <w:ind w:left="720" w:hanging="360"/>
      </w:pPr>
      <w:rPr>
        <w:rFonts w:ascii="Arial" w:hAnsi="Arial" w:hint="default"/>
      </w:rPr>
    </w:lvl>
    <w:lvl w:ilvl="1" w:tplc="94A0628C" w:tentative="1">
      <w:start w:val="1"/>
      <w:numFmt w:val="bullet"/>
      <w:lvlText w:val="•"/>
      <w:lvlJc w:val="left"/>
      <w:pPr>
        <w:tabs>
          <w:tab w:val="num" w:pos="1440"/>
        </w:tabs>
        <w:ind w:left="1440" w:hanging="360"/>
      </w:pPr>
      <w:rPr>
        <w:rFonts w:ascii="Arial" w:hAnsi="Arial" w:hint="default"/>
      </w:rPr>
    </w:lvl>
    <w:lvl w:ilvl="2" w:tplc="0EBCACD2" w:tentative="1">
      <w:start w:val="1"/>
      <w:numFmt w:val="bullet"/>
      <w:lvlText w:val="•"/>
      <w:lvlJc w:val="left"/>
      <w:pPr>
        <w:tabs>
          <w:tab w:val="num" w:pos="2160"/>
        </w:tabs>
        <w:ind w:left="2160" w:hanging="360"/>
      </w:pPr>
      <w:rPr>
        <w:rFonts w:ascii="Arial" w:hAnsi="Arial" w:hint="default"/>
      </w:rPr>
    </w:lvl>
    <w:lvl w:ilvl="3" w:tplc="714A90C8" w:tentative="1">
      <w:start w:val="1"/>
      <w:numFmt w:val="bullet"/>
      <w:lvlText w:val="•"/>
      <w:lvlJc w:val="left"/>
      <w:pPr>
        <w:tabs>
          <w:tab w:val="num" w:pos="2880"/>
        </w:tabs>
        <w:ind w:left="2880" w:hanging="360"/>
      </w:pPr>
      <w:rPr>
        <w:rFonts w:ascii="Arial" w:hAnsi="Arial" w:hint="default"/>
      </w:rPr>
    </w:lvl>
    <w:lvl w:ilvl="4" w:tplc="DC8C7C9C" w:tentative="1">
      <w:start w:val="1"/>
      <w:numFmt w:val="bullet"/>
      <w:lvlText w:val="•"/>
      <w:lvlJc w:val="left"/>
      <w:pPr>
        <w:tabs>
          <w:tab w:val="num" w:pos="3600"/>
        </w:tabs>
        <w:ind w:left="3600" w:hanging="360"/>
      </w:pPr>
      <w:rPr>
        <w:rFonts w:ascii="Arial" w:hAnsi="Arial" w:hint="default"/>
      </w:rPr>
    </w:lvl>
    <w:lvl w:ilvl="5" w:tplc="E6D889DC" w:tentative="1">
      <w:start w:val="1"/>
      <w:numFmt w:val="bullet"/>
      <w:lvlText w:val="•"/>
      <w:lvlJc w:val="left"/>
      <w:pPr>
        <w:tabs>
          <w:tab w:val="num" w:pos="4320"/>
        </w:tabs>
        <w:ind w:left="4320" w:hanging="360"/>
      </w:pPr>
      <w:rPr>
        <w:rFonts w:ascii="Arial" w:hAnsi="Arial" w:hint="default"/>
      </w:rPr>
    </w:lvl>
    <w:lvl w:ilvl="6" w:tplc="4E78EB34" w:tentative="1">
      <w:start w:val="1"/>
      <w:numFmt w:val="bullet"/>
      <w:lvlText w:val="•"/>
      <w:lvlJc w:val="left"/>
      <w:pPr>
        <w:tabs>
          <w:tab w:val="num" w:pos="5040"/>
        </w:tabs>
        <w:ind w:left="5040" w:hanging="360"/>
      </w:pPr>
      <w:rPr>
        <w:rFonts w:ascii="Arial" w:hAnsi="Arial" w:hint="default"/>
      </w:rPr>
    </w:lvl>
    <w:lvl w:ilvl="7" w:tplc="DAAA5314" w:tentative="1">
      <w:start w:val="1"/>
      <w:numFmt w:val="bullet"/>
      <w:lvlText w:val="•"/>
      <w:lvlJc w:val="left"/>
      <w:pPr>
        <w:tabs>
          <w:tab w:val="num" w:pos="5760"/>
        </w:tabs>
        <w:ind w:left="5760" w:hanging="360"/>
      </w:pPr>
      <w:rPr>
        <w:rFonts w:ascii="Arial" w:hAnsi="Arial" w:hint="default"/>
      </w:rPr>
    </w:lvl>
    <w:lvl w:ilvl="8" w:tplc="BB509D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08020F"/>
    <w:multiLevelType w:val="hybridMultilevel"/>
    <w:tmpl w:val="388A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E47E9"/>
    <w:multiLevelType w:val="hybridMultilevel"/>
    <w:tmpl w:val="3F7CF340"/>
    <w:lvl w:ilvl="0" w:tplc="75801B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7B7960"/>
    <w:multiLevelType w:val="hybridMultilevel"/>
    <w:tmpl w:val="63E49D0C"/>
    <w:lvl w:ilvl="0" w:tplc="7ABC12B0">
      <w:start w:val="1"/>
      <w:numFmt w:val="bullet"/>
      <w:lvlText w:val="•"/>
      <w:lvlJc w:val="left"/>
      <w:pPr>
        <w:tabs>
          <w:tab w:val="num" w:pos="720"/>
        </w:tabs>
        <w:ind w:left="720" w:hanging="360"/>
      </w:pPr>
      <w:rPr>
        <w:rFonts w:ascii="Arial" w:hAnsi="Arial" w:hint="default"/>
      </w:rPr>
    </w:lvl>
    <w:lvl w:ilvl="1" w:tplc="5AC247A2" w:tentative="1">
      <w:start w:val="1"/>
      <w:numFmt w:val="bullet"/>
      <w:lvlText w:val="•"/>
      <w:lvlJc w:val="left"/>
      <w:pPr>
        <w:tabs>
          <w:tab w:val="num" w:pos="1440"/>
        </w:tabs>
        <w:ind w:left="1440" w:hanging="360"/>
      </w:pPr>
      <w:rPr>
        <w:rFonts w:ascii="Arial" w:hAnsi="Arial" w:hint="default"/>
      </w:rPr>
    </w:lvl>
    <w:lvl w:ilvl="2" w:tplc="7BA04F20" w:tentative="1">
      <w:start w:val="1"/>
      <w:numFmt w:val="bullet"/>
      <w:lvlText w:val="•"/>
      <w:lvlJc w:val="left"/>
      <w:pPr>
        <w:tabs>
          <w:tab w:val="num" w:pos="2160"/>
        </w:tabs>
        <w:ind w:left="2160" w:hanging="360"/>
      </w:pPr>
      <w:rPr>
        <w:rFonts w:ascii="Arial" w:hAnsi="Arial" w:hint="default"/>
      </w:rPr>
    </w:lvl>
    <w:lvl w:ilvl="3" w:tplc="DA20ADBE" w:tentative="1">
      <w:start w:val="1"/>
      <w:numFmt w:val="bullet"/>
      <w:lvlText w:val="•"/>
      <w:lvlJc w:val="left"/>
      <w:pPr>
        <w:tabs>
          <w:tab w:val="num" w:pos="2880"/>
        </w:tabs>
        <w:ind w:left="2880" w:hanging="360"/>
      </w:pPr>
      <w:rPr>
        <w:rFonts w:ascii="Arial" w:hAnsi="Arial" w:hint="default"/>
      </w:rPr>
    </w:lvl>
    <w:lvl w:ilvl="4" w:tplc="F3C8F03A" w:tentative="1">
      <w:start w:val="1"/>
      <w:numFmt w:val="bullet"/>
      <w:lvlText w:val="•"/>
      <w:lvlJc w:val="left"/>
      <w:pPr>
        <w:tabs>
          <w:tab w:val="num" w:pos="3600"/>
        </w:tabs>
        <w:ind w:left="3600" w:hanging="360"/>
      </w:pPr>
      <w:rPr>
        <w:rFonts w:ascii="Arial" w:hAnsi="Arial" w:hint="default"/>
      </w:rPr>
    </w:lvl>
    <w:lvl w:ilvl="5" w:tplc="6ECE5C98" w:tentative="1">
      <w:start w:val="1"/>
      <w:numFmt w:val="bullet"/>
      <w:lvlText w:val="•"/>
      <w:lvlJc w:val="left"/>
      <w:pPr>
        <w:tabs>
          <w:tab w:val="num" w:pos="4320"/>
        </w:tabs>
        <w:ind w:left="4320" w:hanging="360"/>
      </w:pPr>
      <w:rPr>
        <w:rFonts w:ascii="Arial" w:hAnsi="Arial" w:hint="default"/>
      </w:rPr>
    </w:lvl>
    <w:lvl w:ilvl="6" w:tplc="CC06C18C" w:tentative="1">
      <w:start w:val="1"/>
      <w:numFmt w:val="bullet"/>
      <w:lvlText w:val="•"/>
      <w:lvlJc w:val="left"/>
      <w:pPr>
        <w:tabs>
          <w:tab w:val="num" w:pos="5040"/>
        </w:tabs>
        <w:ind w:left="5040" w:hanging="360"/>
      </w:pPr>
      <w:rPr>
        <w:rFonts w:ascii="Arial" w:hAnsi="Arial" w:hint="default"/>
      </w:rPr>
    </w:lvl>
    <w:lvl w:ilvl="7" w:tplc="BB486F0E" w:tentative="1">
      <w:start w:val="1"/>
      <w:numFmt w:val="bullet"/>
      <w:lvlText w:val="•"/>
      <w:lvlJc w:val="left"/>
      <w:pPr>
        <w:tabs>
          <w:tab w:val="num" w:pos="5760"/>
        </w:tabs>
        <w:ind w:left="5760" w:hanging="360"/>
      </w:pPr>
      <w:rPr>
        <w:rFonts w:ascii="Arial" w:hAnsi="Arial" w:hint="default"/>
      </w:rPr>
    </w:lvl>
    <w:lvl w:ilvl="8" w:tplc="DC86A7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7D1F4E"/>
    <w:multiLevelType w:val="hybridMultilevel"/>
    <w:tmpl w:val="FBFA3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AE2E85"/>
    <w:multiLevelType w:val="hybridMultilevel"/>
    <w:tmpl w:val="1DE686AE"/>
    <w:lvl w:ilvl="0" w:tplc="EAF69F0C">
      <w:start w:val="1"/>
      <w:numFmt w:val="bullet"/>
      <w:lvlText w:val="•"/>
      <w:lvlJc w:val="left"/>
      <w:pPr>
        <w:tabs>
          <w:tab w:val="num" w:pos="720"/>
        </w:tabs>
        <w:ind w:left="720" w:hanging="360"/>
      </w:pPr>
      <w:rPr>
        <w:rFonts w:ascii="Arial" w:hAnsi="Arial" w:hint="default"/>
      </w:rPr>
    </w:lvl>
    <w:lvl w:ilvl="1" w:tplc="1E9A5300">
      <w:start w:val="1"/>
      <w:numFmt w:val="bullet"/>
      <w:lvlText w:val="•"/>
      <w:lvlJc w:val="left"/>
      <w:pPr>
        <w:tabs>
          <w:tab w:val="num" w:pos="1440"/>
        </w:tabs>
        <w:ind w:left="1440" w:hanging="360"/>
      </w:pPr>
      <w:rPr>
        <w:rFonts w:ascii="Arial" w:hAnsi="Arial" w:hint="default"/>
      </w:rPr>
    </w:lvl>
    <w:lvl w:ilvl="2" w:tplc="9454FB6E" w:tentative="1">
      <w:start w:val="1"/>
      <w:numFmt w:val="bullet"/>
      <w:lvlText w:val="•"/>
      <w:lvlJc w:val="left"/>
      <w:pPr>
        <w:tabs>
          <w:tab w:val="num" w:pos="2160"/>
        </w:tabs>
        <w:ind w:left="2160" w:hanging="360"/>
      </w:pPr>
      <w:rPr>
        <w:rFonts w:ascii="Arial" w:hAnsi="Arial" w:hint="default"/>
      </w:rPr>
    </w:lvl>
    <w:lvl w:ilvl="3" w:tplc="4C642F82" w:tentative="1">
      <w:start w:val="1"/>
      <w:numFmt w:val="bullet"/>
      <w:lvlText w:val="•"/>
      <w:lvlJc w:val="left"/>
      <w:pPr>
        <w:tabs>
          <w:tab w:val="num" w:pos="2880"/>
        </w:tabs>
        <w:ind w:left="2880" w:hanging="360"/>
      </w:pPr>
      <w:rPr>
        <w:rFonts w:ascii="Arial" w:hAnsi="Arial" w:hint="default"/>
      </w:rPr>
    </w:lvl>
    <w:lvl w:ilvl="4" w:tplc="FA74EAEC" w:tentative="1">
      <w:start w:val="1"/>
      <w:numFmt w:val="bullet"/>
      <w:lvlText w:val="•"/>
      <w:lvlJc w:val="left"/>
      <w:pPr>
        <w:tabs>
          <w:tab w:val="num" w:pos="3600"/>
        </w:tabs>
        <w:ind w:left="3600" w:hanging="360"/>
      </w:pPr>
      <w:rPr>
        <w:rFonts w:ascii="Arial" w:hAnsi="Arial" w:hint="default"/>
      </w:rPr>
    </w:lvl>
    <w:lvl w:ilvl="5" w:tplc="EDDEE188" w:tentative="1">
      <w:start w:val="1"/>
      <w:numFmt w:val="bullet"/>
      <w:lvlText w:val="•"/>
      <w:lvlJc w:val="left"/>
      <w:pPr>
        <w:tabs>
          <w:tab w:val="num" w:pos="4320"/>
        </w:tabs>
        <w:ind w:left="4320" w:hanging="360"/>
      </w:pPr>
      <w:rPr>
        <w:rFonts w:ascii="Arial" w:hAnsi="Arial" w:hint="default"/>
      </w:rPr>
    </w:lvl>
    <w:lvl w:ilvl="6" w:tplc="A8C04D64" w:tentative="1">
      <w:start w:val="1"/>
      <w:numFmt w:val="bullet"/>
      <w:lvlText w:val="•"/>
      <w:lvlJc w:val="left"/>
      <w:pPr>
        <w:tabs>
          <w:tab w:val="num" w:pos="5040"/>
        </w:tabs>
        <w:ind w:left="5040" w:hanging="360"/>
      </w:pPr>
      <w:rPr>
        <w:rFonts w:ascii="Arial" w:hAnsi="Arial" w:hint="default"/>
      </w:rPr>
    </w:lvl>
    <w:lvl w:ilvl="7" w:tplc="8F424C3C" w:tentative="1">
      <w:start w:val="1"/>
      <w:numFmt w:val="bullet"/>
      <w:lvlText w:val="•"/>
      <w:lvlJc w:val="left"/>
      <w:pPr>
        <w:tabs>
          <w:tab w:val="num" w:pos="5760"/>
        </w:tabs>
        <w:ind w:left="5760" w:hanging="360"/>
      </w:pPr>
      <w:rPr>
        <w:rFonts w:ascii="Arial" w:hAnsi="Arial" w:hint="default"/>
      </w:rPr>
    </w:lvl>
    <w:lvl w:ilvl="8" w:tplc="E6D4E1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6F06DC"/>
    <w:multiLevelType w:val="hybridMultilevel"/>
    <w:tmpl w:val="AD7A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23BB7"/>
    <w:multiLevelType w:val="hybridMultilevel"/>
    <w:tmpl w:val="5C40748E"/>
    <w:lvl w:ilvl="0" w:tplc="EAF69F0C">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A235A0F"/>
    <w:multiLevelType w:val="hybridMultilevel"/>
    <w:tmpl w:val="8F74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A119D8"/>
    <w:multiLevelType w:val="multilevel"/>
    <w:tmpl w:val="418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8"/>
  </w:num>
  <w:num w:numId="5">
    <w:abstractNumId w:val="12"/>
  </w:num>
  <w:num w:numId="6">
    <w:abstractNumId w:val="2"/>
  </w:num>
  <w:num w:numId="7">
    <w:abstractNumId w:val="1"/>
  </w:num>
  <w:num w:numId="8">
    <w:abstractNumId w:val="9"/>
  </w:num>
  <w:num w:numId="9">
    <w:abstractNumId w:val="10"/>
  </w:num>
  <w:num w:numId="10">
    <w:abstractNumId w:val="5"/>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EB"/>
    <w:rsid w:val="0001621D"/>
    <w:rsid w:val="0011195B"/>
    <w:rsid w:val="00167FEA"/>
    <w:rsid w:val="0019695C"/>
    <w:rsid w:val="00253AEB"/>
    <w:rsid w:val="003629DE"/>
    <w:rsid w:val="00385E02"/>
    <w:rsid w:val="003A59C5"/>
    <w:rsid w:val="003B141D"/>
    <w:rsid w:val="00401C9A"/>
    <w:rsid w:val="004529F3"/>
    <w:rsid w:val="0046401B"/>
    <w:rsid w:val="00494F5F"/>
    <w:rsid w:val="004B1E65"/>
    <w:rsid w:val="004D0AB8"/>
    <w:rsid w:val="004F0325"/>
    <w:rsid w:val="004F1195"/>
    <w:rsid w:val="005149CD"/>
    <w:rsid w:val="005504C9"/>
    <w:rsid w:val="00577E37"/>
    <w:rsid w:val="005D36F9"/>
    <w:rsid w:val="005F0C78"/>
    <w:rsid w:val="0061319D"/>
    <w:rsid w:val="00773429"/>
    <w:rsid w:val="007A47C6"/>
    <w:rsid w:val="00801A2A"/>
    <w:rsid w:val="008E4F2B"/>
    <w:rsid w:val="00911BF9"/>
    <w:rsid w:val="0094624B"/>
    <w:rsid w:val="00947A92"/>
    <w:rsid w:val="00963744"/>
    <w:rsid w:val="00A5305A"/>
    <w:rsid w:val="00A543B0"/>
    <w:rsid w:val="00A74199"/>
    <w:rsid w:val="00A81E56"/>
    <w:rsid w:val="00AD4515"/>
    <w:rsid w:val="00B40EE9"/>
    <w:rsid w:val="00B8069E"/>
    <w:rsid w:val="00BA4BD9"/>
    <w:rsid w:val="00BE37FB"/>
    <w:rsid w:val="00C02014"/>
    <w:rsid w:val="00CF0D9C"/>
    <w:rsid w:val="00CF43EE"/>
    <w:rsid w:val="00DA38ED"/>
    <w:rsid w:val="00DC64EC"/>
    <w:rsid w:val="00E350ED"/>
    <w:rsid w:val="00E57328"/>
    <w:rsid w:val="00E90B5C"/>
    <w:rsid w:val="00F34A65"/>
    <w:rsid w:val="00FB54DB"/>
    <w:rsid w:val="00FC4957"/>
    <w:rsid w:val="00FE3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BD811-0818-4793-9D44-60A963BA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nstantia" w:eastAsiaTheme="minorEastAsia" w:hAnsi="Constantia" w:cs="Calibri"/>
        <w:color w:val="000000"/>
        <w:sz w:val="22"/>
        <w:szCs w:val="22"/>
        <w:u w:color="000000"/>
        <w:lang w:val="en-GB" w:eastAsia="en-US" w:bidi="ar-SA"/>
        <w14:numForm w14:val="lining"/>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01621D"/>
  </w:style>
  <w:style w:type="paragraph" w:styleId="Heading1">
    <w:name w:val="heading 1"/>
    <w:basedOn w:val="Title"/>
    <w:next w:val="Normal"/>
    <w:link w:val="Heading1Char"/>
    <w:autoRedefine/>
    <w:uiPriority w:val="9"/>
    <w:qFormat/>
    <w:rsid w:val="0001621D"/>
    <w:pPr>
      <w:spacing w:before="600" w:after="480"/>
      <w:ind w:left="360"/>
      <w:jc w:val="center"/>
      <w:outlineLvl w:val="0"/>
    </w:pPr>
    <w:rPr>
      <w:b/>
      <w:bCs/>
      <w:sz w:val="36"/>
      <w:szCs w:val="28"/>
    </w:rPr>
  </w:style>
  <w:style w:type="paragraph" w:styleId="Heading2">
    <w:name w:val="heading 2"/>
    <w:basedOn w:val="Normal"/>
    <w:next w:val="Normal"/>
    <w:link w:val="Heading2Char"/>
    <w:autoRedefine/>
    <w:uiPriority w:val="9"/>
    <w:unhideWhenUsed/>
    <w:qFormat/>
    <w:rsid w:val="0001621D"/>
    <w:pPr>
      <w:spacing w:before="200" w:after="0"/>
      <w:jc w:val="center"/>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01621D"/>
    <w:pPr>
      <w:spacing w:before="200" w:after="120" w:line="271" w:lineRule="auto"/>
      <w:jc w:val="center"/>
      <w:outlineLvl w:val="2"/>
    </w:pPr>
    <w:rPr>
      <w:rFonts w:eastAsiaTheme="majorEastAsia" w:cstheme="majorBidi"/>
      <w:b/>
      <w:bCs/>
      <w:sz w:val="24"/>
    </w:rPr>
  </w:style>
  <w:style w:type="paragraph" w:styleId="Heading4">
    <w:name w:val="heading 4"/>
    <w:basedOn w:val="Normal"/>
    <w:next w:val="Normal"/>
    <w:link w:val="Heading4Char"/>
    <w:autoRedefine/>
    <w:uiPriority w:val="9"/>
    <w:semiHidden/>
    <w:unhideWhenUsed/>
    <w:qFormat/>
    <w:rsid w:val="0001621D"/>
    <w:pPr>
      <w:spacing w:before="220" w:after="120"/>
      <w:jc w:val="center"/>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01621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1621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1621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1621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1621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621D"/>
    <w:pPr>
      <w:ind w:left="720"/>
      <w:contextualSpacing/>
    </w:pPr>
  </w:style>
  <w:style w:type="character" w:styleId="Hyperlink">
    <w:name w:val="Hyperlink"/>
    <w:basedOn w:val="DefaultParagraphFont"/>
    <w:uiPriority w:val="99"/>
    <w:unhideWhenUsed/>
    <w:rsid w:val="00A543B0"/>
    <w:rPr>
      <w:color w:val="0000FF" w:themeColor="hyperlink"/>
      <w:u w:val="single"/>
    </w:rPr>
  </w:style>
  <w:style w:type="paragraph" w:styleId="Header">
    <w:name w:val="header"/>
    <w:basedOn w:val="Normal"/>
    <w:link w:val="HeaderChar"/>
    <w:uiPriority w:val="99"/>
    <w:unhideWhenUsed/>
    <w:rsid w:val="00E3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0ED"/>
  </w:style>
  <w:style w:type="paragraph" w:styleId="Footer">
    <w:name w:val="footer"/>
    <w:basedOn w:val="Normal"/>
    <w:link w:val="FooterChar"/>
    <w:uiPriority w:val="99"/>
    <w:unhideWhenUsed/>
    <w:rsid w:val="00E3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0ED"/>
  </w:style>
  <w:style w:type="paragraph" w:styleId="BalloonText">
    <w:name w:val="Balloon Text"/>
    <w:basedOn w:val="Normal"/>
    <w:link w:val="BalloonTextChar"/>
    <w:uiPriority w:val="99"/>
    <w:semiHidden/>
    <w:unhideWhenUsed/>
    <w:rsid w:val="005D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F9"/>
    <w:rPr>
      <w:rFonts w:ascii="Tahoma" w:hAnsi="Tahoma" w:cs="Tahoma"/>
      <w:sz w:val="16"/>
      <w:szCs w:val="16"/>
    </w:rPr>
  </w:style>
  <w:style w:type="character" w:styleId="FollowedHyperlink">
    <w:name w:val="FollowedHyperlink"/>
    <w:basedOn w:val="DefaultParagraphFont"/>
    <w:uiPriority w:val="99"/>
    <w:semiHidden/>
    <w:unhideWhenUsed/>
    <w:rsid w:val="008E4F2B"/>
    <w:rPr>
      <w:color w:val="800080" w:themeColor="followedHyperlink"/>
      <w:u w:val="single"/>
    </w:rPr>
  </w:style>
  <w:style w:type="character" w:styleId="PlaceholderText">
    <w:name w:val="Placeholder Text"/>
    <w:basedOn w:val="DefaultParagraphFont"/>
    <w:uiPriority w:val="99"/>
    <w:semiHidden/>
    <w:rsid w:val="00947A92"/>
    <w:rPr>
      <w:color w:val="808080"/>
    </w:rPr>
  </w:style>
  <w:style w:type="character" w:customStyle="1" w:styleId="Heading1Char">
    <w:name w:val="Heading 1 Char"/>
    <w:basedOn w:val="DefaultParagraphFont"/>
    <w:link w:val="Heading1"/>
    <w:uiPriority w:val="9"/>
    <w:rsid w:val="0001621D"/>
    <w:rPr>
      <w:rFonts w:asciiTheme="majorHAnsi" w:eastAsiaTheme="majorEastAsia" w:hAnsiTheme="majorHAnsi" w:cstheme="majorBidi"/>
      <w:b/>
      <w:bCs/>
      <w:spacing w:val="5"/>
      <w:sz w:val="36"/>
      <w:szCs w:val="28"/>
    </w:rPr>
  </w:style>
  <w:style w:type="paragraph" w:styleId="Title">
    <w:name w:val="Title"/>
    <w:basedOn w:val="Normal"/>
    <w:next w:val="Normal"/>
    <w:link w:val="TitleChar"/>
    <w:uiPriority w:val="10"/>
    <w:qFormat/>
    <w:rsid w:val="0001621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1621D"/>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01621D"/>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01621D"/>
    <w:rPr>
      <w:rFonts w:eastAsiaTheme="majorEastAsia" w:cstheme="majorBidi"/>
      <w:b/>
      <w:bCs/>
      <w:sz w:val="24"/>
    </w:rPr>
  </w:style>
  <w:style w:type="character" w:customStyle="1" w:styleId="Heading4Char">
    <w:name w:val="Heading 4 Char"/>
    <w:basedOn w:val="DefaultParagraphFont"/>
    <w:link w:val="Heading4"/>
    <w:uiPriority w:val="9"/>
    <w:semiHidden/>
    <w:rsid w:val="0001621D"/>
    <w:rPr>
      <w:rFonts w:eastAsiaTheme="majorEastAsia" w:cstheme="majorBidi"/>
      <w:b/>
      <w:bCs/>
      <w:i/>
      <w:iCs/>
    </w:rPr>
  </w:style>
  <w:style w:type="character" w:customStyle="1" w:styleId="Heading5Char">
    <w:name w:val="Heading 5 Char"/>
    <w:basedOn w:val="DefaultParagraphFont"/>
    <w:link w:val="Heading5"/>
    <w:uiPriority w:val="9"/>
    <w:semiHidden/>
    <w:rsid w:val="0001621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1621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1621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1621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1621D"/>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01621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1621D"/>
    <w:rPr>
      <w:rFonts w:asciiTheme="majorHAnsi" w:eastAsiaTheme="majorEastAsia" w:hAnsiTheme="majorHAnsi" w:cstheme="majorBidi"/>
      <w:i/>
      <w:iCs/>
      <w:spacing w:val="13"/>
      <w:sz w:val="24"/>
      <w:szCs w:val="24"/>
    </w:rPr>
  </w:style>
  <w:style w:type="character" w:styleId="Strong">
    <w:name w:val="Strong"/>
    <w:uiPriority w:val="22"/>
    <w:qFormat/>
    <w:rsid w:val="0001621D"/>
    <w:rPr>
      <w:b/>
      <w:bCs/>
    </w:rPr>
  </w:style>
  <w:style w:type="character" w:styleId="Emphasis">
    <w:name w:val="Emphasis"/>
    <w:uiPriority w:val="20"/>
    <w:qFormat/>
    <w:rsid w:val="0001621D"/>
    <w:rPr>
      <w:b/>
      <w:bCs/>
      <w:i/>
      <w:iCs/>
      <w:spacing w:val="10"/>
      <w:bdr w:val="none" w:sz="0" w:space="0" w:color="auto"/>
      <w:shd w:val="clear" w:color="auto" w:fill="auto"/>
    </w:rPr>
  </w:style>
  <w:style w:type="paragraph" w:styleId="NoSpacing">
    <w:name w:val="No Spacing"/>
    <w:basedOn w:val="Normal"/>
    <w:link w:val="NoSpacingChar"/>
    <w:uiPriority w:val="1"/>
    <w:qFormat/>
    <w:rsid w:val="0001621D"/>
    <w:pPr>
      <w:spacing w:after="0" w:line="240" w:lineRule="auto"/>
    </w:pPr>
  </w:style>
  <w:style w:type="character" w:customStyle="1" w:styleId="NoSpacingChar">
    <w:name w:val="No Spacing Char"/>
    <w:basedOn w:val="DefaultParagraphFont"/>
    <w:link w:val="NoSpacing"/>
    <w:uiPriority w:val="1"/>
    <w:rsid w:val="0001621D"/>
  </w:style>
  <w:style w:type="character" w:customStyle="1" w:styleId="ListParagraphChar">
    <w:name w:val="List Paragraph Char"/>
    <w:basedOn w:val="DefaultParagraphFont"/>
    <w:link w:val="ListParagraph"/>
    <w:uiPriority w:val="34"/>
    <w:rsid w:val="0001621D"/>
  </w:style>
  <w:style w:type="paragraph" w:styleId="Quote">
    <w:name w:val="Quote"/>
    <w:basedOn w:val="Normal"/>
    <w:next w:val="Normal"/>
    <w:link w:val="QuoteChar"/>
    <w:autoRedefine/>
    <w:uiPriority w:val="29"/>
    <w:qFormat/>
    <w:rsid w:val="0001621D"/>
    <w:pPr>
      <w:spacing w:after="240" w:line="240" w:lineRule="auto"/>
      <w:ind w:left="454" w:right="454"/>
      <w:mirrorIndents/>
    </w:pPr>
    <w:rPr>
      <w:i/>
      <w:iCs/>
    </w:rPr>
  </w:style>
  <w:style w:type="character" w:customStyle="1" w:styleId="QuoteChar">
    <w:name w:val="Quote Char"/>
    <w:basedOn w:val="DefaultParagraphFont"/>
    <w:link w:val="Quote"/>
    <w:uiPriority w:val="29"/>
    <w:rsid w:val="0001621D"/>
    <w:rPr>
      <w:i/>
      <w:iCs/>
    </w:rPr>
  </w:style>
  <w:style w:type="paragraph" w:styleId="IntenseQuote">
    <w:name w:val="Intense Quote"/>
    <w:basedOn w:val="Normal"/>
    <w:next w:val="Normal"/>
    <w:link w:val="IntenseQuoteChar"/>
    <w:uiPriority w:val="30"/>
    <w:qFormat/>
    <w:rsid w:val="0001621D"/>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1621D"/>
    <w:rPr>
      <w:b/>
      <w:bCs/>
      <w:i/>
      <w:iCs/>
    </w:rPr>
  </w:style>
  <w:style w:type="character" w:styleId="SubtleEmphasis">
    <w:name w:val="Subtle Emphasis"/>
    <w:uiPriority w:val="19"/>
    <w:qFormat/>
    <w:rsid w:val="0001621D"/>
    <w:rPr>
      <w:i/>
      <w:iCs/>
    </w:rPr>
  </w:style>
  <w:style w:type="character" w:styleId="IntenseEmphasis">
    <w:name w:val="Intense Emphasis"/>
    <w:uiPriority w:val="21"/>
    <w:qFormat/>
    <w:rsid w:val="0001621D"/>
    <w:rPr>
      <w:b/>
      <w:bCs/>
    </w:rPr>
  </w:style>
  <w:style w:type="character" w:styleId="SubtleReference">
    <w:name w:val="Subtle Reference"/>
    <w:uiPriority w:val="31"/>
    <w:qFormat/>
    <w:rsid w:val="0001621D"/>
    <w:rPr>
      <w:smallCaps/>
    </w:rPr>
  </w:style>
  <w:style w:type="character" w:styleId="IntenseReference">
    <w:name w:val="Intense Reference"/>
    <w:uiPriority w:val="32"/>
    <w:qFormat/>
    <w:rsid w:val="0001621D"/>
    <w:rPr>
      <w:smallCaps/>
      <w:spacing w:val="5"/>
      <w:u w:val="single"/>
    </w:rPr>
  </w:style>
  <w:style w:type="character" w:styleId="BookTitle">
    <w:name w:val="Book Title"/>
    <w:uiPriority w:val="33"/>
    <w:qFormat/>
    <w:rsid w:val="0001621D"/>
    <w:rPr>
      <w:i/>
      <w:iCs/>
      <w:smallCaps/>
      <w:spacing w:val="5"/>
    </w:rPr>
  </w:style>
  <w:style w:type="paragraph" w:styleId="TOCHeading">
    <w:name w:val="TOC Heading"/>
    <w:basedOn w:val="Heading1"/>
    <w:next w:val="Normal"/>
    <w:uiPriority w:val="39"/>
    <w:semiHidden/>
    <w:unhideWhenUsed/>
    <w:qFormat/>
    <w:rsid w:val="0001621D"/>
    <w:pPr>
      <w:outlineLvl w:val="9"/>
    </w:pPr>
    <w:rPr>
      <w:lang w:bidi="en-US"/>
    </w:rPr>
  </w:style>
  <w:style w:type="paragraph" w:styleId="NormalWeb">
    <w:name w:val="Normal (Web)"/>
    <w:basedOn w:val="Normal"/>
    <w:uiPriority w:val="99"/>
    <w:semiHidden/>
    <w:unhideWhenUsed/>
    <w:rsid w:val="00BE37FB"/>
    <w:pPr>
      <w:spacing w:before="100" w:beforeAutospacing="1" w:after="100" w:afterAutospacing="1" w:line="240" w:lineRule="auto"/>
      <w:jc w:val="left"/>
    </w:pPr>
    <w:rPr>
      <w:rFonts w:ascii="Times New Roman" w:eastAsia="Times New Roman" w:hAnsi="Times New Roman" w:cs="Times New Roman"/>
      <w:color w:val="auto"/>
      <w:sz w:val="24"/>
      <w:szCs w:val="24"/>
      <w:lang w:eastAsia="en-GB"/>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19511">
      <w:bodyDiv w:val="1"/>
      <w:marLeft w:val="0"/>
      <w:marRight w:val="0"/>
      <w:marTop w:val="0"/>
      <w:marBottom w:val="0"/>
      <w:divBdr>
        <w:top w:val="none" w:sz="0" w:space="0" w:color="auto"/>
        <w:left w:val="none" w:sz="0" w:space="0" w:color="auto"/>
        <w:bottom w:val="none" w:sz="0" w:space="0" w:color="auto"/>
        <w:right w:val="none" w:sz="0" w:space="0" w:color="auto"/>
      </w:divBdr>
    </w:div>
    <w:div w:id="318509184">
      <w:bodyDiv w:val="1"/>
      <w:marLeft w:val="0"/>
      <w:marRight w:val="0"/>
      <w:marTop w:val="0"/>
      <w:marBottom w:val="0"/>
      <w:divBdr>
        <w:top w:val="none" w:sz="0" w:space="0" w:color="auto"/>
        <w:left w:val="none" w:sz="0" w:space="0" w:color="auto"/>
        <w:bottom w:val="none" w:sz="0" w:space="0" w:color="auto"/>
        <w:right w:val="none" w:sz="0" w:space="0" w:color="auto"/>
      </w:divBdr>
      <w:divsChild>
        <w:div w:id="113791323">
          <w:marLeft w:val="446"/>
          <w:marRight w:val="0"/>
          <w:marTop w:val="0"/>
          <w:marBottom w:val="0"/>
          <w:divBdr>
            <w:top w:val="none" w:sz="0" w:space="0" w:color="auto"/>
            <w:left w:val="none" w:sz="0" w:space="0" w:color="auto"/>
            <w:bottom w:val="none" w:sz="0" w:space="0" w:color="auto"/>
            <w:right w:val="none" w:sz="0" w:space="0" w:color="auto"/>
          </w:divBdr>
        </w:div>
        <w:div w:id="734007352">
          <w:marLeft w:val="446"/>
          <w:marRight w:val="0"/>
          <w:marTop w:val="0"/>
          <w:marBottom w:val="0"/>
          <w:divBdr>
            <w:top w:val="none" w:sz="0" w:space="0" w:color="auto"/>
            <w:left w:val="none" w:sz="0" w:space="0" w:color="auto"/>
            <w:bottom w:val="none" w:sz="0" w:space="0" w:color="auto"/>
            <w:right w:val="none" w:sz="0" w:space="0" w:color="auto"/>
          </w:divBdr>
        </w:div>
        <w:div w:id="356934183">
          <w:marLeft w:val="446"/>
          <w:marRight w:val="0"/>
          <w:marTop w:val="0"/>
          <w:marBottom w:val="0"/>
          <w:divBdr>
            <w:top w:val="none" w:sz="0" w:space="0" w:color="auto"/>
            <w:left w:val="none" w:sz="0" w:space="0" w:color="auto"/>
            <w:bottom w:val="none" w:sz="0" w:space="0" w:color="auto"/>
            <w:right w:val="none" w:sz="0" w:space="0" w:color="auto"/>
          </w:divBdr>
        </w:div>
      </w:divsChild>
    </w:div>
    <w:div w:id="663320339">
      <w:bodyDiv w:val="1"/>
      <w:marLeft w:val="0"/>
      <w:marRight w:val="0"/>
      <w:marTop w:val="0"/>
      <w:marBottom w:val="0"/>
      <w:divBdr>
        <w:top w:val="none" w:sz="0" w:space="0" w:color="auto"/>
        <w:left w:val="none" w:sz="0" w:space="0" w:color="auto"/>
        <w:bottom w:val="none" w:sz="0" w:space="0" w:color="auto"/>
        <w:right w:val="none" w:sz="0" w:space="0" w:color="auto"/>
      </w:divBdr>
    </w:div>
    <w:div w:id="1067456548">
      <w:bodyDiv w:val="1"/>
      <w:marLeft w:val="0"/>
      <w:marRight w:val="0"/>
      <w:marTop w:val="0"/>
      <w:marBottom w:val="0"/>
      <w:divBdr>
        <w:top w:val="none" w:sz="0" w:space="0" w:color="auto"/>
        <w:left w:val="none" w:sz="0" w:space="0" w:color="auto"/>
        <w:bottom w:val="none" w:sz="0" w:space="0" w:color="auto"/>
        <w:right w:val="none" w:sz="0" w:space="0" w:color="auto"/>
      </w:divBdr>
    </w:div>
    <w:div w:id="1357077083">
      <w:bodyDiv w:val="1"/>
      <w:marLeft w:val="0"/>
      <w:marRight w:val="0"/>
      <w:marTop w:val="0"/>
      <w:marBottom w:val="0"/>
      <w:divBdr>
        <w:top w:val="none" w:sz="0" w:space="0" w:color="auto"/>
        <w:left w:val="none" w:sz="0" w:space="0" w:color="auto"/>
        <w:bottom w:val="none" w:sz="0" w:space="0" w:color="auto"/>
        <w:right w:val="none" w:sz="0" w:space="0" w:color="auto"/>
      </w:divBdr>
    </w:div>
    <w:div w:id="1367288710">
      <w:bodyDiv w:val="1"/>
      <w:marLeft w:val="0"/>
      <w:marRight w:val="0"/>
      <w:marTop w:val="0"/>
      <w:marBottom w:val="0"/>
      <w:divBdr>
        <w:top w:val="none" w:sz="0" w:space="0" w:color="auto"/>
        <w:left w:val="none" w:sz="0" w:space="0" w:color="auto"/>
        <w:bottom w:val="none" w:sz="0" w:space="0" w:color="auto"/>
        <w:right w:val="none" w:sz="0" w:space="0" w:color="auto"/>
      </w:divBdr>
      <w:divsChild>
        <w:div w:id="1774352548">
          <w:marLeft w:val="547"/>
          <w:marRight w:val="0"/>
          <w:marTop w:val="134"/>
          <w:marBottom w:val="0"/>
          <w:divBdr>
            <w:top w:val="none" w:sz="0" w:space="0" w:color="auto"/>
            <w:left w:val="none" w:sz="0" w:space="0" w:color="auto"/>
            <w:bottom w:val="none" w:sz="0" w:space="0" w:color="auto"/>
            <w:right w:val="none" w:sz="0" w:space="0" w:color="auto"/>
          </w:divBdr>
        </w:div>
      </w:divsChild>
    </w:div>
    <w:div w:id="1404597308">
      <w:bodyDiv w:val="1"/>
      <w:marLeft w:val="0"/>
      <w:marRight w:val="0"/>
      <w:marTop w:val="0"/>
      <w:marBottom w:val="0"/>
      <w:divBdr>
        <w:top w:val="none" w:sz="0" w:space="0" w:color="auto"/>
        <w:left w:val="none" w:sz="0" w:space="0" w:color="auto"/>
        <w:bottom w:val="none" w:sz="0" w:space="0" w:color="auto"/>
        <w:right w:val="none" w:sz="0" w:space="0" w:color="auto"/>
      </w:divBdr>
      <w:divsChild>
        <w:div w:id="1009521668">
          <w:marLeft w:val="446"/>
          <w:marRight w:val="0"/>
          <w:marTop w:val="0"/>
          <w:marBottom w:val="0"/>
          <w:divBdr>
            <w:top w:val="none" w:sz="0" w:space="0" w:color="auto"/>
            <w:left w:val="none" w:sz="0" w:space="0" w:color="auto"/>
            <w:bottom w:val="none" w:sz="0" w:space="0" w:color="auto"/>
            <w:right w:val="none" w:sz="0" w:space="0" w:color="auto"/>
          </w:divBdr>
        </w:div>
        <w:div w:id="1512143929">
          <w:marLeft w:val="446"/>
          <w:marRight w:val="0"/>
          <w:marTop w:val="0"/>
          <w:marBottom w:val="0"/>
          <w:divBdr>
            <w:top w:val="none" w:sz="0" w:space="0" w:color="auto"/>
            <w:left w:val="none" w:sz="0" w:space="0" w:color="auto"/>
            <w:bottom w:val="none" w:sz="0" w:space="0" w:color="auto"/>
            <w:right w:val="none" w:sz="0" w:space="0" w:color="auto"/>
          </w:divBdr>
        </w:div>
        <w:div w:id="1023555740">
          <w:marLeft w:val="446"/>
          <w:marRight w:val="0"/>
          <w:marTop w:val="0"/>
          <w:marBottom w:val="0"/>
          <w:divBdr>
            <w:top w:val="none" w:sz="0" w:space="0" w:color="auto"/>
            <w:left w:val="none" w:sz="0" w:space="0" w:color="auto"/>
            <w:bottom w:val="none" w:sz="0" w:space="0" w:color="auto"/>
            <w:right w:val="none" w:sz="0" w:space="0" w:color="auto"/>
          </w:divBdr>
        </w:div>
      </w:divsChild>
    </w:div>
    <w:div w:id="14527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66/evidence/full-guideline-pdf-44191202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woa.parker@york.ac.uk" TargetMode="External"/><Relationship Id="rId4" Type="http://schemas.openxmlformats.org/officeDocument/2006/relationships/webSettings" Target="webSettings.xml"/><Relationship Id="rId9" Type="http://schemas.openxmlformats.org/officeDocument/2006/relationships/hyperlink" Target="http://www.nice.org.uk/guidance/ng66/evidence/full-guideline-%20pdf-441912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 A.</dc:creator>
  <cp:lastModifiedBy>Brooks, E.R.</cp:lastModifiedBy>
  <cp:revision>2</cp:revision>
  <dcterms:created xsi:type="dcterms:W3CDTF">2019-08-05T11:51:00Z</dcterms:created>
  <dcterms:modified xsi:type="dcterms:W3CDTF">2019-08-05T11:51:00Z</dcterms:modified>
</cp:coreProperties>
</file>