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B02" w:rsidRDefault="00C03230">
      <w:pPr>
        <w:rPr>
          <w:b/>
          <w:bCs/>
          <w:lang w:val="en-US"/>
        </w:rPr>
      </w:pPr>
      <w:proofErr w:type="gramStart"/>
      <w:r w:rsidRPr="00C03230">
        <w:rPr>
          <w:b/>
          <w:bCs/>
          <w:lang w:val="en-US"/>
        </w:rPr>
        <w:t xml:space="preserve">Assessing the Cost of Children and Understanding Welfare Adaptations in Changing Economies: </w:t>
      </w:r>
      <w:r w:rsidRPr="00C03230">
        <w:rPr>
          <w:b/>
          <w:bCs/>
          <w:lang w:val="en-US"/>
        </w:rPr>
        <w:br/>
        <w:t>Comparing Norway and China</w:t>
      </w:r>
      <w:r>
        <w:rPr>
          <w:b/>
          <w:bCs/>
          <w:lang w:val="en-US"/>
        </w:rPr>
        <w:t>.</w:t>
      </w:r>
      <w:proofErr w:type="gramEnd"/>
    </w:p>
    <w:p w:rsidR="005A1CC5" w:rsidRDefault="005A1CC5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Ellin</w:t>
      </w:r>
      <w:r w:rsidR="009002B7">
        <w:rPr>
          <w:b/>
          <w:bCs/>
          <w:lang w:val="en-US"/>
        </w:rPr>
        <w:t>g</w:t>
      </w:r>
      <w:proofErr w:type="spellEnd"/>
      <w:r w:rsidR="009002B7">
        <w:rPr>
          <w:b/>
          <w:bCs/>
          <w:lang w:val="en-US"/>
        </w:rPr>
        <w:t xml:space="preserve"> </w:t>
      </w:r>
      <w:proofErr w:type="spellStart"/>
      <w:r w:rsidR="009002B7">
        <w:rPr>
          <w:b/>
          <w:bCs/>
          <w:lang w:val="en-US"/>
        </w:rPr>
        <w:t>Borgeraas</w:t>
      </w:r>
      <w:proofErr w:type="spellEnd"/>
      <w:r w:rsidR="009002B7">
        <w:rPr>
          <w:b/>
          <w:bCs/>
          <w:lang w:val="en-US"/>
        </w:rPr>
        <w:t xml:space="preserve"> and Ragnhild Brusda</w:t>
      </w:r>
      <w:r>
        <w:rPr>
          <w:b/>
          <w:bCs/>
          <w:lang w:val="en-US"/>
        </w:rPr>
        <w:t>l, National Institute for Consumer Research, Norway</w:t>
      </w:r>
    </w:p>
    <w:p w:rsidR="00C03230" w:rsidRDefault="00C03230">
      <w:pPr>
        <w:rPr>
          <w:lang w:val="en-US"/>
        </w:rPr>
      </w:pPr>
    </w:p>
    <w:p w:rsidR="00CC0B6D" w:rsidRDefault="00C03230">
      <w:pPr>
        <w:rPr>
          <w:lang w:val="en-US"/>
        </w:rPr>
      </w:pPr>
      <w:r>
        <w:rPr>
          <w:lang w:val="en-US"/>
        </w:rPr>
        <w:t xml:space="preserve">The ambition of this paper is to </w:t>
      </w:r>
      <w:r w:rsidRPr="00C03230">
        <w:rPr>
          <w:lang w:val="en-US"/>
        </w:rPr>
        <w:t xml:space="preserve">contribute to the ongoing international development of </w:t>
      </w:r>
      <w:r>
        <w:rPr>
          <w:lang w:val="en-US"/>
        </w:rPr>
        <w:t>empirical founded methodologies</w:t>
      </w:r>
      <w:r w:rsidRPr="00C03230">
        <w:rPr>
          <w:lang w:val="en-US"/>
        </w:rPr>
        <w:t xml:space="preserve"> for measuring cost of li</w:t>
      </w:r>
      <w:r>
        <w:rPr>
          <w:lang w:val="en-US"/>
        </w:rPr>
        <w:t>ving</w:t>
      </w:r>
      <w:r w:rsidRPr="00C03230">
        <w:rPr>
          <w:lang w:val="en-US"/>
        </w:rPr>
        <w:t xml:space="preserve">, in particular more appropriate </w:t>
      </w:r>
      <w:r>
        <w:rPr>
          <w:lang w:val="en-US"/>
        </w:rPr>
        <w:t>weights for the cost of children.  While most of the traditional measures used to compare welfare be</w:t>
      </w:r>
      <w:r w:rsidR="00244474">
        <w:rPr>
          <w:lang w:val="en-US"/>
        </w:rPr>
        <w:t>tween households of different s</w:t>
      </w:r>
      <w:r>
        <w:rPr>
          <w:lang w:val="en-US"/>
        </w:rPr>
        <w:t>ize</w:t>
      </w:r>
      <w:r w:rsidR="006236EB">
        <w:rPr>
          <w:lang w:val="en-US"/>
        </w:rPr>
        <w:t>s</w:t>
      </w:r>
      <w:r>
        <w:rPr>
          <w:lang w:val="en-US"/>
        </w:rPr>
        <w:t xml:space="preserve"> and composition</w:t>
      </w:r>
      <w:r w:rsidR="006236EB">
        <w:rPr>
          <w:lang w:val="en-US"/>
        </w:rPr>
        <w:t xml:space="preserve"> across countries with different welfare levels</w:t>
      </w:r>
      <w:r w:rsidR="0077354F">
        <w:rPr>
          <w:lang w:val="en-US"/>
        </w:rPr>
        <w:t xml:space="preserve"> </w:t>
      </w:r>
      <w:r w:rsidR="006236EB">
        <w:rPr>
          <w:lang w:val="en-US"/>
        </w:rPr>
        <w:t>use</w:t>
      </w:r>
      <w:r w:rsidR="0077354F">
        <w:rPr>
          <w:lang w:val="en-US"/>
        </w:rPr>
        <w:t xml:space="preserve"> fixed </w:t>
      </w:r>
      <w:r w:rsidR="005A1CC5">
        <w:rPr>
          <w:lang w:val="en-US"/>
        </w:rPr>
        <w:t>ratios</w:t>
      </w:r>
      <w:r w:rsidR="0077354F">
        <w:rPr>
          <w:lang w:val="en-US"/>
        </w:rPr>
        <w:t>,</w:t>
      </w:r>
      <w:r w:rsidR="006236EB">
        <w:rPr>
          <w:lang w:val="en-US"/>
        </w:rPr>
        <w:t xml:space="preserve"> do we argue for the necessity of</w:t>
      </w:r>
      <w:r w:rsidR="0077354F">
        <w:rPr>
          <w:lang w:val="en-US"/>
        </w:rPr>
        <w:t xml:space="preserve"> developing national scales. </w:t>
      </w:r>
      <w:r w:rsidR="00BE135A">
        <w:rPr>
          <w:lang w:val="en-US"/>
        </w:rPr>
        <w:t>The</w:t>
      </w:r>
      <w:r w:rsidR="0077354F">
        <w:rPr>
          <w:lang w:val="en-US"/>
        </w:rPr>
        <w:t xml:space="preserve"> traditional scales are </w:t>
      </w:r>
      <w:r w:rsidR="00CC0B6D">
        <w:rPr>
          <w:lang w:val="en-US"/>
        </w:rPr>
        <w:t xml:space="preserve">not </w:t>
      </w:r>
      <w:r w:rsidR="006236EB">
        <w:rPr>
          <w:lang w:val="en-US"/>
        </w:rPr>
        <w:t>sensitive</w:t>
      </w:r>
      <w:r w:rsidR="009002B7">
        <w:rPr>
          <w:lang w:val="en-US"/>
        </w:rPr>
        <w:t xml:space="preserve"> to historical time,</w:t>
      </w:r>
      <w:r w:rsidR="00CC0B6D">
        <w:rPr>
          <w:lang w:val="en-US"/>
        </w:rPr>
        <w:t xml:space="preserve"> social change</w:t>
      </w:r>
      <w:r w:rsidR="009002B7">
        <w:rPr>
          <w:lang w:val="en-US"/>
        </w:rPr>
        <w:t xml:space="preserve"> and distribution</w:t>
      </w:r>
      <w:r w:rsidR="00BD6C19">
        <w:rPr>
          <w:lang w:val="en-US"/>
        </w:rPr>
        <w:t xml:space="preserve"> of</w:t>
      </w:r>
      <w:r w:rsidR="009002B7">
        <w:rPr>
          <w:lang w:val="en-US"/>
        </w:rPr>
        <w:t xml:space="preserve"> welfare</w:t>
      </w:r>
      <w:r w:rsidR="0077354F">
        <w:rPr>
          <w:lang w:val="en-US"/>
        </w:rPr>
        <w:t xml:space="preserve">. </w:t>
      </w:r>
      <w:r w:rsidR="006236EB">
        <w:rPr>
          <w:lang w:val="en-US"/>
        </w:rPr>
        <w:t xml:space="preserve">To illustrate, in the modified OECD scale the relative cost of children is defined as 30 percent of the first adult, </w:t>
      </w:r>
      <w:r w:rsidR="00BD6C19">
        <w:rPr>
          <w:lang w:val="en-US"/>
        </w:rPr>
        <w:t xml:space="preserve">irrespective </w:t>
      </w:r>
      <w:r w:rsidR="006236EB">
        <w:rPr>
          <w:lang w:val="en-US"/>
        </w:rPr>
        <w:t>of which countries are compared.</w:t>
      </w:r>
      <w:r w:rsidR="0077354F">
        <w:rPr>
          <w:lang w:val="en-US"/>
        </w:rPr>
        <w:t xml:space="preserve"> </w:t>
      </w:r>
      <w:r w:rsidR="00CC0B6D">
        <w:rPr>
          <w:lang w:val="en-US"/>
        </w:rPr>
        <w:t xml:space="preserve">The lack of empirical evidence to support the scale is also a convincing argument against </w:t>
      </w:r>
      <w:r w:rsidR="006236EB">
        <w:rPr>
          <w:lang w:val="en-US"/>
        </w:rPr>
        <w:t>this type of</w:t>
      </w:r>
      <w:r w:rsidR="00CC0B6D">
        <w:rPr>
          <w:lang w:val="en-US"/>
        </w:rPr>
        <w:t xml:space="preserve"> equivalence scales. The paper </w:t>
      </w:r>
      <w:r w:rsidR="006236EB">
        <w:rPr>
          <w:lang w:val="en-US"/>
        </w:rPr>
        <w:t>introduces</w:t>
      </w:r>
      <w:r w:rsidR="00CC0B6D">
        <w:rPr>
          <w:lang w:val="en-US"/>
        </w:rPr>
        <w:t xml:space="preserve"> the modern budget approach as </w:t>
      </w:r>
      <w:r w:rsidR="00A661C7">
        <w:rPr>
          <w:lang w:val="en-US"/>
        </w:rPr>
        <w:t>a</w:t>
      </w:r>
      <w:r w:rsidR="006236EB">
        <w:rPr>
          <w:lang w:val="en-US"/>
        </w:rPr>
        <w:t>n</w:t>
      </w:r>
      <w:r w:rsidR="00CC0B6D">
        <w:rPr>
          <w:lang w:val="en-US"/>
        </w:rPr>
        <w:t xml:space="preserve"> </w:t>
      </w:r>
      <w:r w:rsidR="006236EB">
        <w:rPr>
          <w:lang w:val="en-US"/>
        </w:rPr>
        <w:t>alternative</w:t>
      </w:r>
      <w:r w:rsidR="00CC0B6D">
        <w:rPr>
          <w:lang w:val="en-US"/>
        </w:rPr>
        <w:t xml:space="preserve"> approach </w:t>
      </w:r>
      <w:r w:rsidR="006236EB">
        <w:rPr>
          <w:lang w:val="en-US"/>
        </w:rPr>
        <w:t>developing</w:t>
      </w:r>
      <w:r w:rsidR="00CC0B6D">
        <w:rPr>
          <w:lang w:val="en-US"/>
        </w:rPr>
        <w:t xml:space="preserve"> scales that are based on national welfare ambitions</w:t>
      </w:r>
      <w:r w:rsidR="00A661C7">
        <w:rPr>
          <w:lang w:val="en-US"/>
        </w:rPr>
        <w:t xml:space="preserve">. A comparison between budget standards in Norway and some preliminary efforts to create budget standards in China will be used as an illustration of the advantages </w:t>
      </w:r>
      <w:r w:rsidR="006236EB">
        <w:rPr>
          <w:lang w:val="en-US"/>
        </w:rPr>
        <w:t>as well as the</w:t>
      </w:r>
      <w:r w:rsidR="00A661C7">
        <w:rPr>
          <w:lang w:val="en-US"/>
        </w:rPr>
        <w:t xml:space="preserve"> major challenges in such research. </w:t>
      </w:r>
      <w:r w:rsidR="00E10CAD">
        <w:rPr>
          <w:lang w:val="en-US"/>
        </w:rPr>
        <w:t xml:space="preserve">China is a very suitable case </w:t>
      </w:r>
      <w:r w:rsidR="006236EB">
        <w:rPr>
          <w:lang w:val="en-US"/>
        </w:rPr>
        <w:t>for</w:t>
      </w:r>
      <w:r w:rsidR="00E10CAD">
        <w:rPr>
          <w:lang w:val="en-US"/>
        </w:rPr>
        <w:t xml:space="preserve"> two obvious reasons; China</w:t>
      </w:r>
      <w:r w:rsidR="00244474">
        <w:rPr>
          <w:lang w:val="en-US"/>
        </w:rPr>
        <w:t>’s</w:t>
      </w:r>
      <w:r w:rsidR="00E10CAD">
        <w:rPr>
          <w:lang w:val="en-US"/>
        </w:rPr>
        <w:t xml:space="preserve"> economy is changing very rapidly and is substantially different from</w:t>
      </w:r>
      <w:r w:rsidR="006236EB">
        <w:rPr>
          <w:lang w:val="en-US"/>
        </w:rPr>
        <w:t xml:space="preserve"> that of Norway.</w:t>
      </w:r>
      <w:r w:rsidR="00E10CAD">
        <w:rPr>
          <w:lang w:val="en-US"/>
        </w:rPr>
        <w:t xml:space="preserve"> </w:t>
      </w:r>
      <w:r w:rsidR="005A1CC5">
        <w:rPr>
          <w:lang w:val="en-US"/>
        </w:rPr>
        <w:t>Hence, the case of China</w:t>
      </w:r>
      <w:r w:rsidR="00E10CAD">
        <w:rPr>
          <w:lang w:val="en-US"/>
        </w:rPr>
        <w:t xml:space="preserve"> illustrates the </w:t>
      </w:r>
      <w:r w:rsidR="005A1CC5">
        <w:rPr>
          <w:lang w:val="en-US"/>
        </w:rPr>
        <w:t xml:space="preserve">problems of using fixed scales as well as the problems involved in developing comparable budget models and the </w:t>
      </w:r>
      <w:r w:rsidR="00E10CAD">
        <w:rPr>
          <w:lang w:val="en-US"/>
        </w:rPr>
        <w:t>serious scientific challenges</w:t>
      </w:r>
      <w:r w:rsidR="00DB111C">
        <w:rPr>
          <w:lang w:val="en-US"/>
        </w:rPr>
        <w:t xml:space="preserve"> of constructing budget scale</w:t>
      </w:r>
      <w:r w:rsidR="005A1CC5">
        <w:rPr>
          <w:lang w:val="en-US"/>
        </w:rPr>
        <w:t>s</w:t>
      </w:r>
      <w:r w:rsidR="00DB111C">
        <w:rPr>
          <w:lang w:val="en-US"/>
        </w:rPr>
        <w:t xml:space="preserve">. The paper will address all </w:t>
      </w:r>
      <w:r w:rsidR="005A1CC5">
        <w:rPr>
          <w:lang w:val="en-US"/>
        </w:rPr>
        <w:t xml:space="preserve">of these three issues </w:t>
      </w:r>
      <w:r w:rsidR="00DB111C">
        <w:rPr>
          <w:lang w:val="en-US"/>
        </w:rPr>
        <w:t xml:space="preserve">with an emphasis on scientific challenges; </w:t>
      </w:r>
      <w:r w:rsidR="005A1CC5">
        <w:rPr>
          <w:lang w:val="en-US"/>
        </w:rPr>
        <w:t xml:space="preserve">including </w:t>
      </w:r>
      <w:r w:rsidR="00DB111C">
        <w:rPr>
          <w:lang w:val="en-US"/>
        </w:rPr>
        <w:t xml:space="preserve">the combination of </w:t>
      </w:r>
      <w:r w:rsidR="005A1CC5">
        <w:rPr>
          <w:lang w:val="en-US"/>
        </w:rPr>
        <w:t xml:space="preserve">expert assessments, the population’s attitude to possible standards and the chances to establishing a reasonable welfare levels. </w:t>
      </w:r>
      <w:bookmarkStart w:id="0" w:name="_GoBack"/>
      <w:bookmarkEnd w:id="0"/>
    </w:p>
    <w:sectPr w:rsidR="00CC0B6D" w:rsidSect="005E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94DF4"/>
    <w:multiLevelType w:val="hybridMultilevel"/>
    <w:tmpl w:val="A8A09E14"/>
    <w:lvl w:ilvl="0" w:tplc="F864D7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9446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001A9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96AFD4">
      <w:start w:val="2790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309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1ED3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202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F6E2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84D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3230"/>
    <w:rsid w:val="00035D71"/>
    <w:rsid w:val="00244474"/>
    <w:rsid w:val="00394CC5"/>
    <w:rsid w:val="005A1CC5"/>
    <w:rsid w:val="005E0E06"/>
    <w:rsid w:val="006236EB"/>
    <w:rsid w:val="006E68CF"/>
    <w:rsid w:val="0077354F"/>
    <w:rsid w:val="009002B7"/>
    <w:rsid w:val="00A661C7"/>
    <w:rsid w:val="00AA766A"/>
    <w:rsid w:val="00BD6C19"/>
    <w:rsid w:val="00BE135A"/>
    <w:rsid w:val="00C03230"/>
    <w:rsid w:val="00C811AC"/>
    <w:rsid w:val="00CC0B6D"/>
    <w:rsid w:val="00D77B02"/>
    <w:rsid w:val="00DB111C"/>
    <w:rsid w:val="00E10CAD"/>
    <w:rsid w:val="00ED2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E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6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831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1466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35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09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90230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492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1722</Characters>
  <Application>Microsoft Office Word</Application>
  <DocSecurity>4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Borgeraas Elling</dc:creator>
  <cp:lastModifiedBy>Antonia Keung </cp:lastModifiedBy>
  <cp:revision>2</cp:revision>
  <cp:lastPrinted>2011-02-01T09:47:00Z</cp:lastPrinted>
  <dcterms:created xsi:type="dcterms:W3CDTF">2011-03-07T16:58:00Z</dcterms:created>
  <dcterms:modified xsi:type="dcterms:W3CDTF">2011-03-07T16:58:00Z</dcterms:modified>
</cp:coreProperties>
</file>