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1E" w:rsidRPr="00845FAB" w:rsidRDefault="007E7F77" w:rsidP="007A0C1E">
      <w:pPr>
        <w:rPr>
          <w:b/>
          <w:sz w:val="22"/>
          <w:szCs w:val="22"/>
        </w:rPr>
      </w:pPr>
      <w:r>
        <w:rPr>
          <w:b/>
          <w:sz w:val="22"/>
          <w:szCs w:val="22"/>
        </w:rPr>
        <w:t>T</w:t>
      </w:r>
      <w:r w:rsidR="00A17AEC" w:rsidRPr="00845FAB">
        <w:rPr>
          <w:b/>
          <w:sz w:val="22"/>
          <w:szCs w:val="22"/>
        </w:rPr>
        <w:t xml:space="preserve">he CSHCN Screener: Key Findings, </w:t>
      </w:r>
      <w:r>
        <w:rPr>
          <w:b/>
          <w:sz w:val="22"/>
          <w:szCs w:val="22"/>
        </w:rPr>
        <w:t>Methods Issues, and its Relationship with Well-Being</w:t>
      </w:r>
    </w:p>
    <w:p w:rsidR="007A0C1E" w:rsidRPr="00845FAB" w:rsidRDefault="007A0C1E" w:rsidP="007A0C1E">
      <w:pPr>
        <w:rPr>
          <w:sz w:val="22"/>
          <w:szCs w:val="22"/>
        </w:rPr>
      </w:pPr>
    </w:p>
    <w:p w:rsidR="00210052" w:rsidRPr="00845FAB" w:rsidRDefault="00210052" w:rsidP="007A0C1E">
      <w:pPr>
        <w:rPr>
          <w:sz w:val="22"/>
          <w:szCs w:val="22"/>
          <w:u w:val="single"/>
        </w:rPr>
      </w:pPr>
      <w:r w:rsidRPr="00845FAB">
        <w:rPr>
          <w:sz w:val="22"/>
          <w:szCs w:val="22"/>
          <w:u w:val="single"/>
        </w:rPr>
        <w:t>Authors:</w:t>
      </w:r>
    </w:p>
    <w:p w:rsidR="00210052" w:rsidRPr="00845FAB" w:rsidRDefault="00210052" w:rsidP="007A0C1E">
      <w:pPr>
        <w:rPr>
          <w:sz w:val="22"/>
          <w:szCs w:val="22"/>
        </w:rPr>
      </w:pPr>
    </w:p>
    <w:p w:rsidR="00210052" w:rsidRPr="00845FAB" w:rsidRDefault="00210052" w:rsidP="007A0C1E">
      <w:pPr>
        <w:rPr>
          <w:sz w:val="22"/>
          <w:szCs w:val="22"/>
        </w:rPr>
      </w:pPr>
      <w:r w:rsidRPr="00845FAB">
        <w:rPr>
          <w:sz w:val="22"/>
          <w:szCs w:val="22"/>
        </w:rPr>
        <w:t>Stephen J. Blumberg, National Center for Health Statistics, United States</w:t>
      </w:r>
    </w:p>
    <w:p w:rsidR="00210052" w:rsidRPr="00845FAB" w:rsidRDefault="00210052" w:rsidP="007A0C1E">
      <w:pPr>
        <w:rPr>
          <w:sz w:val="22"/>
          <w:szCs w:val="22"/>
        </w:rPr>
      </w:pPr>
      <w:r w:rsidRPr="00845FAB">
        <w:rPr>
          <w:sz w:val="22"/>
          <w:szCs w:val="22"/>
        </w:rPr>
        <w:t>Christina D. Bethell, Oregon Health and Science University, United States</w:t>
      </w:r>
    </w:p>
    <w:p w:rsidR="00210052" w:rsidRPr="00845FAB" w:rsidRDefault="00210052" w:rsidP="007A0C1E">
      <w:pPr>
        <w:rPr>
          <w:sz w:val="22"/>
          <w:szCs w:val="22"/>
        </w:rPr>
      </w:pPr>
      <w:r w:rsidRPr="00845FAB">
        <w:rPr>
          <w:sz w:val="22"/>
          <w:szCs w:val="22"/>
        </w:rPr>
        <w:t>Paul W. Newacheck, University of California San Francisco, United States</w:t>
      </w:r>
    </w:p>
    <w:p w:rsidR="00210052" w:rsidRPr="00845FAB" w:rsidRDefault="00210052" w:rsidP="007A0C1E">
      <w:pPr>
        <w:rPr>
          <w:sz w:val="22"/>
          <w:szCs w:val="22"/>
        </w:rPr>
      </w:pPr>
    </w:p>
    <w:p w:rsidR="00210052" w:rsidRPr="00845FAB" w:rsidRDefault="00210052" w:rsidP="007A0C1E">
      <w:pPr>
        <w:rPr>
          <w:sz w:val="22"/>
          <w:szCs w:val="22"/>
          <w:u w:val="single"/>
        </w:rPr>
      </w:pPr>
      <w:r w:rsidRPr="00845FAB">
        <w:rPr>
          <w:sz w:val="22"/>
          <w:szCs w:val="22"/>
          <w:u w:val="single"/>
        </w:rPr>
        <w:t>Contact Information:</w:t>
      </w:r>
    </w:p>
    <w:p w:rsidR="00210052" w:rsidRPr="00845FAB" w:rsidRDefault="00210052" w:rsidP="007A0C1E">
      <w:pPr>
        <w:rPr>
          <w:sz w:val="22"/>
          <w:szCs w:val="22"/>
        </w:rPr>
      </w:pPr>
    </w:p>
    <w:p w:rsidR="00210052" w:rsidRPr="00845FAB" w:rsidRDefault="00210052" w:rsidP="007A0C1E">
      <w:pPr>
        <w:rPr>
          <w:sz w:val="22"/>
          <w:szCs w:val="22"/>
        </w:rPr>
      </w:pPr>
      <w:r w:rsidRPr="00845FAB">
        <w:rPr>
          <w:sz w:val="22"/>
          <w:szCs w:val="22"/>
        </w:rPr>
        <w:t>Stephen J. Blumberg, PhD</w:t>
      </w:r>
    </w:p>
    <w:p w:rsidR="00210052" w:rsidRPr="00845FAB" w:rsidRDefault="00210052" w:rsidP="007A0C1E">
      <w:pPr>
        <w:rPr>
          <w:sz w:val="22"/>
          <w:szCs w:val="22"/>
        </w:rPr>
      </w:pPr>
      <w:r w:rsidRPr="00845FAB">
        <w:rPr>
          <w:sz w:val="22"/>
          <w:szCs w:val="22"/>
        </w:rPr>
        <w:t>National Center for Health Statistics</w:t>
      </w:r>
    </w:p>
    <w:p w:rsidR="00210052" w:rsidRPr="00845FAB" w:rsidRDefault="00210052" w:rsidP="007A0C1E">
      <w:pPr>
        <w:rPr>
          <w:sz w:val="22"/>
          <w:szCs w:val="22"/>
        </w:rPr>
      </w:pPr>
      <w:r w:rsidRPr="00845FAB">
        <w:rPr>
          <w:sz w:val="22"/>
          <w:szCs w:val="22"/>
        </w:rPr>
        <w:t>Centers for Disease Control and Prevention</w:t>
      </w:r>
    </w:p>
    <w:p w:rsidR="00210052" w:rsidRPr="00845FAB" w:rsidRDefault="00210052" w:rsidP="007A0C1E">
      <w:pPr>
        <w:rPr>
          <w:sz w:val="22"/>
          <w:szCs w:val="22"/>
        </w:rPr>
      </w:pPr>
      <w:r w:rsidRPr="00845FAB">
        <w:rPr>
          <w:sz w:val="22"/>
          <w:szCs w:val="22"/>
        </w:rPr>
        <w:t>3311 Toledo Road, Room 2112</w:t>
      </w:r>
    </w:p>
    <w:p w:rsidR="00210052" w:rsidRPr="00845FAB" w:rsidRDefault="00210052" w:rsidP="007A0C1E">
      <w:pPr>
        <w:rPr>
          <w:sz w:val="22"/>
          <w:szCs w:val="22"/>
        </w:rPr>
      </w:pPr>
      <w:r w:rsidRPr="00845FAB">
        <w:rPr>
          <w:sz w:val="22"/>
          <w:szCs w:val="22"/>
        </w:rPr>
        <w:t>Hyattsville, MD 20782 USA</w:t>
      </w:r>
    </w:p>
    <w:p w:rsidR="00210052" w:rsidRPr="00845FAB" w:rsidRDefault="00210052" w:rsidP="007A0C1E">
      <w:pPr>
        <w:rPr>
          <w:sz w:val="22"/>
          <w:szCs w:val="22"/>
        </w:rPr>
      </w:pPr>
      <w:r w:rsidRPr="00845FAB">
        <w:rPr>
          <w:sz w:val="22"/>
          <w:szCs w:val="22"/>
        </w:rPr>
        <w:t>Phone: 301-458-4107</w:t>
      </w:r>
    </w:p>
    <w:p w:rsidR="00845FAB" w:rsidRPr="00845FAB" w:rsidRDefault="00845FAB" w:rsidP="007A0C1E">
      <w:pPr>
        <w:rPr>
          <w:sz w:val="22"/>
          <w:szCs w:val="22"/>
        </w:rPr>
      </w:pPr>
      <w:proofErr w:type="gramStart"/>
      <w:r w:rsidRPr="00845FAB">
        <w:rPr>
          <w:sz w:val="22"/>
          <w:szCs w:val="22"/>
        </w:rPr>
        <w:t>e-mail</w:t>
      </w:r>
      <w:proofErr w:type="gramEnd"/>
      <w:r w:rsidRPr="00845FAB">
        <w:rPr>
          <w:sz w:val="22"/>
          <w:szCs w:val="22"/>
        </w:rPr>
        <w:t xml:space="preserve">: </w:t>
      </w:r>
      <w:hyperlink r:id="rId5" w:history="1">
        <w:r w:rsidRPr="00845FAB">
          <w:rPr>
            <w:rStyle w:val="Hyperlink"/>
            <w:sz w:val="22"/>
            <w:szCs w:val="22"/>
          </w:rPr>
          <w:t>sblumberg@cdc.gov</w:t>
        </w:r>
      </w:hyperlink>
    </w:p>
    <w:p w:rsidR="00845FAB" w:rsidRPr="00845FAB" w:rsidRDefault="00845FAB" w:rsidP="007A0C1E">
      <w:pPr>
        <w:rPr>
          <w:sz w:val="22"/>
          <w:szCs w:val="22"/>
        </w:rPr>
      </w:pPr>
    </w:p>
    <w:p w:rsidR="00210052" w:rsidRPr="00845FAB" w:rsidRDefault="00210052" w:rsidP="007A0C1E">
      <w:pPr>
        <w:rPr>
          <w:sz w:val="22"/>
          <w:szCs w:val="22"/>
          <w:u w:val="single"/>
        </w:rPr>
      </w:pPr>
      <w:r w:rsidRPr="00845FAB">
        <w:rPr>
          <w:sz w:val="22"/>
          <w:szCs w:val="22"/>
          <w:u w:val="single"/>
        </w:rPr>
        <w:t>Abstract:</w:t>
      </w:r>
    </w:p>
    <w:p w:rsidR="00210052" w:rsidRPr="00845FAB" w:rsidRDefault="00210052" w:rsidP="007A0C1E">
      <w:pPr>
        <w:rPr>
          <w:sz w:val="22"/>
          <w:szCs w:val="22"/>
        </w:rPr>
      </w:pPr>
    </w:p>
    <w:p w:rsidR="007E7F77" w:rsidRDefault="006C6EDC" w:rsidP="00845FAB">
      <w:pPr>
        <w:rPr>
          <w:sz w:val="22"/>
          <w:szCs w:val="22"/>
        </w:rPr>
      </w:pPr>
      <w:r>
        <w:rPr>
          <w:sz w:val="22"/>
          <w:szCs w:val="22"/>
        </w:rPr>
        <w:t>C</w:t>
      </w:r>
      <w:r w:rsidRPr="00845FAB">
        <w:rPr>
          <w:sz w:val="22"/>
          <w:szCs w:val="22"/>
        </w:rPr>
        <w:t>hildren with special health care needs (CSHCN)</w:t>
      </w:r>
      <w:r>
        <w:rPr>
          <w:sz w:val="22"/>
          <w:szCs w:val="22"/>
        </w:rPr>
        <w:t xml:space="preserve"> are</w:t>
      </w:r>
      <w:r w:rsidRPr="00845FAB">
        <w:rPr>
          <w:sz w:val="22"/>
          <w:szCs w:val="22"/>
        </w:rPr>
        <w:t xml:space="preserve"> defined as children with ongoing physical, mental, behavioral or other conditions who also require a type or amount of health and related services beyond that required by children generally.  </w:t>
      </w:r>
      <w:r w:rsidR="007A0C1E" w:rsidRPr="00845FAB">
        <w:rPr>
          <w:sz w:val="22"/>
          <w:szCs w:val="22"/>
        </w:rPr>
        <w:t xml:space="preserve">Since </w:t>
      </w:r>
      <w:r w:rsidR="00A17AEC" w:rsidRPr="00845FAB">
        <w:rPr>
          <w:sz w:val="22"/>
          <w:szCs w:val="22"/>
        </w:rPr>
        <w:t>2000</w:t>
      </w:r>
      <w:r w:rsidR="007A0C1E" w:rsidRPr="00845FAB">
        <w:rPr>
          <w:sz w:val="22"/>
          <w:szCs w:val="22"/>
        </w:rPr>
        <w:t xml:space="preserve">, the </w:t>
      </w:r>
      <w:r w:rsidR="007A0C1E" w:rsidRPr="00845FAB">
        <w:rPr>
          <w:i/>
          <w:sz w:val="22"/>
          <w:szCs w:val="22"/>
        </w:rPr>
        <w:t>CSHCN Screener</w:t>
      </w:r>
      <w:r w:rsidR="007A0C1E" w:rsidRPr="00845FAB">
        <w:rPr>
          <w:sz w:val="22"/>
          <w:szCs w:val="22"/>
        </w:rPr>
        <w:t xml:space="preserve"> has been used </w:t>
      </w:r>
      <w:r w:rsidR="00A17AEC" w:rsidRPr="00845FAB">
        <w:rPr>
          <w:sz w:val="22"/>
          <w:szCs w:val="22"/>
        </w:rPr>
        <w:t xml:space="preserve">in national and international surveys </w:t>
      </w:r>
      <w:r w:rsidR="007A0C1E" w:rsidRPr="00845FAB">
        <w:rPr>
          <w:sz w:val="22"/>
          <w:szCs w:val="22"/>
        </w:rPr>
        <w:t xml:space="preserve">as an efficient way to identify </w:t>
      </w:r>
      <w:r>
        <w:rPr>
          <w:sz w:val="22"/>
          <w:szCs w:val="22"/>
        </w:rPr>
        <w:t>these children.</w:t>
      </w:r>
    </w:p>
    <w:p w:rsidR="007E7F77" w:rsidRDefault="007E7F77" w:rsidP="00845FAB">
      <w:pPr>
        <w:rPr>
          <w:sz w:val="22"/>
          <w:szCs w:val="22"/>
        </w:rPr>
      </w:pPr>
    </w:p>
    <w:p w:rsidR="007E7F77" w:rsidRPr="00845FAB" w:rsidRDefault="00A17AEC" w:rsidP="007E7F77">
      <w:pPr>
        <w:rPr>
          <w:sz w:val="22"/>
          <w:szCs w:val="22"/>
        </w:rPr>
      </w:pPr>
      <w:r w:rsidRPr="00845FAB">
        <w:rPr>
          <w:sz w:val="22"/>
          <w:szCs w:val="22"/>
        </w:rPr>
        <w:t xml:space="preserve">In this presentation, we </w:t>
      </w:r>
      <w:r w:rsidR="007E7F77">
        <w:rPr>
          <w:sz w:val="22"/>
          <w:szCs w:val="22"/>
        </w:rPr>
        <w:t xml:space="preserve">will first </w:t>
      </w:r>
      <w:r w:rsidRPr="00845FAB">
        <w:rPr>
          <w:sz w:val="22"/>
          <w:szCs w:val="22"/>
        </w:rPr>
        <w:t xml:space="preserve">look back at the past 10 years of survey and methodological research using this </w:t>
      </w:r>
      <w:r w:rsidR="00A71853" w:rsidRPr="00845FAB">
        <w:rPr>
          <w:sz w:val="22"/>
          <w:szCs w:val="22"/>
        </w:rPr>
        <w:t xml:space="preserve">short </w:t>
      </w:r>
      <w:r w:rsidR="00210052" w:rsidRPr="00845FAB">
        <w:rPr>
          <w:sz w:val="22"/>
          <w:szCs w:val="22"/>
        </w:rPr>
        <w:t>five-item</w:t>
      </w:r>
      <w:r w:rsidR="00A71853" w:rsidRPr="00845FAB">
        <w:rPr>
          <w:sz w:val="22"/>
          <w:szCs w:val="22"/>
        </w:rPr>
        <w:t xml:space="preserve"> assessment tool</w:t>
      </w:r>
      <w:r w:rsidR="006C6EDC">
        <w:rPr>
          <w:sz w:val="22"/>
          <w:szCs w:val="22"/>
        </w:rPr>
        <w:t xml:space="preserve"> </w:t>
      </w:r>
      <w:r w:rsidRPr="00845FAB">
        <w:rPr>
          <w:sz w:val="22"/>
          <w:szCs w:val="22"/>
        </w:rPr>
        <w:t>and explore what this research tells us about its validity.</w:t>
      </w:r>
      <w:r w:rsidR="007E7F77">
        <w:rPr>
          <w:sz w:val="22"/>
          <w:szCs w:val="22"/>
        </w:rPr>
        <w:t xml:space="preserve">  </w:t>
      </w:r>
      <w:r w:rsidR="007E7F77" w:rsidRPr="00845FAB">
        <w:rPr>
          <w:sz w:val="22"/>
          <w:szCs w:val="22"/>
        </w:rPr>
        <w:t xml:space="preserve">We conclude that the </w:t>
      </w:r>
      <w:r w:rsidR="007E7F77" w:rsidRPr="00845FAB">
        <w:rPr>
          <w:i/>
          <w:sz w:val="22"/>
          <w:szCs w:val="22"/>
        </w:rPr>
        <w:t>CSHCN Screener</w:t>
      </w:r>
      <w:r w:rsidR="007E7F77" w:rsidRPr="00845FAB">
        <w:rPr>
          <w:sz w:val="22"/>
          <w:szCs w:val="22"/>
        </w:rPr>
        <w:t xml:space="preserve"> continues to provide an efficient and highly discriminating method for identifying this policy-relevant subgroup of children.  Recent legislative changes in the United States emphasize the need to reduce disparities in </w:t>
      </w:r>
      <w:r w:rsidR="007E7F77">
        <w:rPr>
          <w:sz w:val="22"/>
          <w:szCs w:val="22"/>
        </w:rPr>
        <w:t xml:space="preserve">health </w:t>
      </w:r>
      <w:r w:rsidR="007E7F77" w:rsidRPr="00845FAB">
        <w:rPr>
          <w:sz w:val="22"/>
          <w:szCs w:val="22"/>
        </w:rPr>
        <w:t>care experienced by CSHCN.  Using a standardized tool to identify CSHCN is essential to monitor</w:t>
      </w:r>
      <w:r w:rsidR="007E7F77">
        <w:rPr>
          <w:sz w:val="22"/>
          <w:szCs w:val="22"/>
        </w:rPr>
        <w:t>ing</w:t>
      </w:r>
      <w:r w:rsidR="007E7F77" w:rsidRPr="00845FAB">
        <w:rPr>
          <w:sz w:val="22"/>
          <w:szCs w:val="22"/>
        </w:rPr>
        <w:t xml:space="preserve"> their well-being and assess</w:t>
      </w:r>
      <w:r w:rsidR="007E7F77">
        <w:rPr>
          <w:sz w:val="22"/>
          <w:szCs w:val="22"/>
        </w:rPr>
        <w:t>ing</w:t>
      </w:r>
      <w:r w:rsidR="007E7F77" w:rsidRPr="00845FAB">
        <w:rPr>
          <w:sz w:val="22"/>
          <w:szCs w:val="22"/>
        </w:rPr>
        <w:t xml:space="preserve"> improvement over time.</w:t>
      </w:r>
    </w:p>
    <w:p w:rsidR="007E7F77" w:rsidRDefault="007E7F77" w:rsidP="00845FAB">
      <w:pPr>
        <w:rPr>
          <w:sz w:val="22"/>
          <w:szCs w:val="22"/>
        </w:rPr>
      </w:pPr>
    </w:p>
    <w:p w:rsidR="007E7F77" w:rsidRDefault="007E7F77" w:rsidP="00845FAB">
      <w:pPr>
        <w:rPr>
          <w:sz w:val="22"/>
          <w:szCs w:val="22"/>
        </w:rPr>
      </w:pPr>
      <w:r>
        <w:rPr>
          <w:sz w:val="22"/>
          <w:szCs w:val="22"/>
        </w:rPr>
        <w:t xml:space="preserve">With that purpose in mind, we will next explore the well-being of CSHCN.  </w:t>
      </w:r>
      <w:r w:rsidR="00A243DA" w:rsidRPr="00845FAB">
        <w:rPr>
          <w:sz w:val="22"/>
          <w:szCs w:val="22"/>
        </w:rPr>
        <w:t>The data explored in this presentation will be drawn from the 2003 and 2007 National Survey of Children’s Health</w:t>
      </w:r>
      <w:r w:rsidR="006C6EDC">
        <w:rPr>
          <w:sz w:val="22"/>
          <w:szCs w:val="22"/>
        </w:rPr>
        <w:t xml:space="preserve">.  These surveys </w:t>
      </w:r>
      <w:r>
        <w:rPr>
          <w:sz w:val="22"/>
          <w:szCs w:val="22"/>
        </w:rPr>
        <w:t>we</w:t>
      </w:r>
      <w:r w:rsidR="006C6EDC">
        <w:rPr>
          <w:sz w:val="22"/>
          <w:szCs w:val="22"/>
        </w:rPr>
        <w:t xml:space="preserve">re conducted by the U.S. National Center for Health Statistics as part of the State and Local Area Integrated Telephone Survey program.  </w:t>
      </w:r>
      <w:r w:rsidR="00006701" w:rsidRPr="00845FAB">
        <w:rPr>
          <w:sz w:val="22"/>
          <w:szCs w:val="22"/>
        </w:rPr>
        <w:t>With these data, we will</w:t>
      </w:r>
      <w:r>
        <w:rPr>
          <w:sz w:val="22"/>
          <w:szCs w:val="22"/>
        </w:rPr>
        <w:t xml:space="preserve"> consider whether CSHCN differ from other children in their social behaviors</w:t>
      </w:r>
      <w:r w:rsidR="004871C9">
        <w:rPr>
          <w:sz w:val="22"/>
          <w:szCs w:val="22"/>
        </w:rPr>
        <w:t xml:space="preserve"> and relationships;</w:t>
      </w:r>
      <w:r>
        <w:rPr>
          <w:sz w:val="22"/>
          <w:szCs w:val="22"/>
        </w:rPr>
        <w:t xml:space="preserve"> school engagement</w:t>
      </w:r>
      <w:r w:rsidR="004871C9">
        <w:rPr>
          <w:sz w:val="22"/>
          <w:szCs w:val="22"/>
        </w:rPr>
        <w:t xml:space="preserve"> and school-related problems;</w:t>
      </w:r>
      <w:r>
        <w:rPr>
          <w:sz w:val="22"/>
          <w:szCs w:val="22"/>
        </w:rPr>
        <w:t xml:space="preserve"> time use</w:t>
      </w:r>
      <w:r w:rsidR="004871C9">
        <w:rPr>
          <w:sz w:val="22"/>
          <w:szCs w:val="22"/>
        </w:rPr>
        <w:t xml:space="preserve"> and daily routines; and </w:t>
      </w:r>
      <w:r>
        <w:rPr>
          <w:sz w:val="22"/>
          <w:szCs w:val="22"/>
        </w:rPr>
        <w:t xml:space="preserve">shared family activities.  We will also consider the </w:t>
      </w:r>
      <w:r w:rsidR="004871C9">
        <w:rPr>
          <w:sz w:val="22"/>
          <w:szCs w:val="22"/>
        </w:rPr>
        <w:t xml:space="preserve">emotional </w:t>
      </w:r>
      <w:r>
        <w:rPr>
          <w:sz w:val="22"/>
          <w:szCs w:val="22"/>
        </w:rPr>
        <w:t xml:space="preserve">health of their parents and the family-friendliness of their neighborhoods.  </w:t>
      </w:r>
    </w:p>
    <w:p w:rsidR="007E7F77" w:rsidRDefault="007E7F77" w:rsidP="00845FAB">
      <w:pPr>
        <w:rPr>
          <w:sz w:val="22"/>
          <w:szCs w:val="22"/>
        </w:rPr>
      </w:pPr>
    </w:p>
    <w:p w:rsidR="00A63CDB" w:rsidRPr="00845FAB" w:rsidRDefault="00A63CDB" w:rsidP="00A17AEC">
      <w:pPr>
        <w:rPr>
          <w:sz w:val="22"/>
          <w:szCs w:val="22"/>
        </w:rPr>
      </w:pPr>
    </w:p>
    <w:sectPr w:rsidR="00A63CDB" w:rsidRPr="00845FAB" w:rsidSect="00845F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0003"/>
    <w:multiLevelType w:val="hybridMultilevel"/>
    <w:tmpl w:val="525045F8"/>
    <w:lvl w:ilvl="0" w:tplc="9BB039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ACD938">
      <w:start w:val="33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9066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CAC6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6ABB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481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38CA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1AC9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489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/>
  <w:rsids>
    <w:rsidRoot w:val="007A0C1E"/>
    <w:rsid w:val="00006701"/>
    <w:rsid w:val="00081EE3"/>
    <w:rsid w:val="000C79C4"/>
    <w:rsid w:val="001002E8"/>
    <w:rsid w:val="0010321B"/>
    <w:rsid w:val="00210052"/>
    <w:rsid w:val="002330FB"/>
    <w:rsid w:val="00354426"/>
    <w:rsid w:val="004871C9"/>
    <w:rsid w:val="004F41BE"/>
    <w:rsid w:val="006C6EDC"/>
    <w:rsid w:val="007A0C1E"/>
    <w:rsid w:val="007E2E1C"/>
    <w:rsid w:val="007E7F77"/>
    <w:rsid w:val="00845FAB"/>
    <w:rsid w:val="00A17AEC"/>
    <w:rsid w:val="00A243DA"/>
    <w:rsid w:val="00A63CDB"/>
    <w:rsid w:val="00A71853"/>
    <w:rsid w:val="00BB5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C1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5F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E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E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blumberg@cd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1956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ITG</dc:creator>
  <cp:keywords/>
  <dc:description/>
  <cp:lastModifiedBy>Antonia Keung </cp:lastModifiedBy>
  <cp:revision>2</cp:revision>
  <cp:lastPrinted>2011-01-31T23:17:00Z</cp:lastPrinted>
  <dcterms:created xsi:type="dcterms:W3CDTF">2011-05-05T15:19:00Z</dcterms:created>
  <dcterms:modified xsi:type="dcterms:W3CDTF">2011-05-05T15:19:00Z</dcterms:modified>
</cp:coreProperties>
</file>